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6230" w14:textId="7F80DF45" w:rsidR="000E67F4" w:rsidRDefault="000E67F4" w:rsidP="00981F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Transition towards adoption and effective implementation of PSG-2023</w:t>
      </w:r>
    </w:p>
    <w:p w14:paraId="7397F632" w14:textId="3650C10A" w:rsidR="00657B3A" w:rsidRDefault="00657B3A" w:rsidP="000E67F4">
      <w:pPr>
        <w:pStyle w:val="ListParagraph"/>
        <w:numPr>
          <w:ilvl w:val="0"/>
          <w:numId w:val="17"/>
        </w:numPr>
        <w:ind w:left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Formation of Institutional Quality Circle (IQC), as per PSG-2023</w:t>
      </w:r>
      <w:r w:rsidR="00AB1CF0">
        <w:rPr>
          <w:rFonts w:ascii="Times New Roman" w:hAnsi="Times New Roman" w:cs="Times New Roman"/>
          <w:bCs/>
          <w:sz w:val="24"/>
          <w:szCs w:val="24"/>
        </w:rPr>
        <w:t xml:space="preserve"> and share the Notification with QAA</w:t>
      </w:r>
      <w:r w:rsidR="006246A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246A4" w:rsidRPr="006246A4">
        <w:rPr>
          <w:rFonts w:ascii="Times New Roman" w:hAnsi="Times New Roman" w:cs="Times New Roman"/>
          <w:b/>
          <w:sz w:val="24"/>
          <w:szCs w:val="24"/>
        </w:rPr>
        <w:t>Mandatory</w:t>
      </w:r>
      <w:r w:rsidR="006246A4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1E61ECF" w14:textId="6939CD0A" w:rsidR="00F86AE2" w:rsidRDefault="00F86AE2" w:rsidP="000E67F4">
      <w:pPr>
        <w:pStyle w:val="ListParagraph"/>
        <w:numPr>
          <w:ilvl w:val="0"/>
          <w:numId w:val="17"/>
        </w:numPr>
        <w:ind w:left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Developed and functional Quality related webpage at University’s official website, with quick link as </w:t>
      </w:r>
      <w:hyperlink r:id="rId7" w:history="1">
        <w:r w:rsidRPr="009A11D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www.universityxyz.edu.pk/quality</w:t>
        </w:r>
      </w:hyperlink>
      <w:r>
        <w:rPr>
          <w:rFonts w:ascii="Times New Roman" w:hAnsi="Times New Roman" w:cs="Times New Roman"/>
          <w:bCs/>
          <w:sz w:val="24"/>
          <w:szCs w:val="24"/>
        </w:rPr>
        <w:t>. The webpage must contain:</w:t>
      </w:r>
    </w:p>
    <w:p w14:paraId="0BA40DD3" w14:textId="371A40F6" w:rsidR="00975A00" w:rsidRDefault="00975A00" w:rsidP="00F86AE2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University’s Quality Policy</w:t>
      </w:r>
    </w:p>
    <w:p w14:paraId="527B7C9F" w14:textId="225647FB" w:rsidR="006246A4" w:rsidRDefault="006246A4" w:rsidP="00F86AE2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Institutional Quality Circle (IQC)</w:t>
      </w:r>
    </w:p>
    <w:p w14:paraId="037151D6" w14:textId="110BC57D" w:rsidR="00F86AE2" w:rsidRDefault="00F86AE2" w:rsidP="00F86AE2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Annual Activity </w:t>
      </w:r>
      <w:r w:rsidR="00975A00">
        <w:rPr>
          <w:rFonts w:ascii="Times New Roman" w:hAnsi="Times New Roman" w:cs="Times New Roman"/>
          <w:bCs/>
          <w:sz w:val="24"/>
          <w:szCs w:val="24"/>
        </w:rPr>
        <w:t>Calendar</w:t>
      </w:r>
    </w:p>
    <w:p w14:paraId="7B94A85C" w14:textId="77777777" w:rsidR="00975A00" w:rsidRPr="00975A00" w:rsidRDefault="00975A00" w:rsidP="00975A00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Updated contact information of QEC Personnels &amp; Focal Persons</w:t>
      </w:r>
    </w:p>
    <w:p w14:paraId="17A0ED2E" w14:textId="7DFA3E2C" w:rsidR="00975A00" w:rsidRPr="00667474" w:rsidRDefault="00975A00" w:rsidP="00975A00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667474">
        <w:rPr>
          <w:rFonts w:ascii="Times New Roman" w:hAnsi="Times New Roman" w:cs="Times New Roman"/>
          <w:bCs/>
          <w:sz w:val="24"/>
          <w:szCs w:val="24"/>
        </w:rPr>
        <w:t xml:space="preserve">Outcomes of Internal &amp; External QA Reviews and Compliance, including </w:t>
      </w:r>
      <w:r w:rsidR="00667474" w:rsidRPr="00667474">
        <w:rPr>
          <w:rFonts w:ascii="Times New Roman" w:hAnsi="Times New Roman" w:cs="Times New Roman"/>
          <w:bCs/>
          <w:sz w:val="24"/>
          <w:szCs w:val="24"/>
        </w:rPr>
        <w:t>PIPE</w:t>
      </w:r>
      <w:r w:rsidRPr="006674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0183E">
        <w:rPr>
          <w:rFonts w:ascii="Times New Roman" w:hAnsi="Times New Roman" w:cs="Times New Roman"/>
          <w:bCs/>
          <w:sz w:val="24"/>
          <w:szCs w:val="24"/>
        </w:rPr>
        <w:t>PREE for EQA</w:t>
      </w:r>
      <w:r w:rsidRPr="00667474">
        <w:rPr>
          <w:rFonts w:ascii="Times New Roman" w:hAnsi="Times New Roman" w:cs="Times New Roman"/>
          <w:bCs/>
          <w:sz w:val="24"/>
          <w:szCs w:val="24"/>
        </w:rPr>
        <w:t xml:space="preserve">, Accreditation </w:t>
      </w:r>
      <w:r w:rsidR="00667474" w:rsidRPr="00667474">
        <w:rPr>
          <w:rFonts w:ascii="Times New Roman" w:hAnsi="Times New Roman" w:cs="Times New Roman"/>
          <w:bCs/>
          <w:sz w:val="24"/>
          <w:szCs w:val="24"/>
        </w:rPr>
        <w:t>and P</w:t>
      </w:r>
      <w:r w:rsidRPr="00667474">
        <w:rPr>
          <w:rFonts w:ascii="Times New Roman" w:hAnsi="Times New Roman" w:cs="Times New Roman"/>
          <w:bCs/>
          <w:sz w:val="24"/>
          <w:szCs w:val="24"/>
        </w:rPr>
        <w:t>SARs</w:t>
      </w:r>
      <w:r w:rsidR="00667474" w:rsidRPr="00667474">
        <w:rPr>
          <w:rFonts w:ascii="Times New Roman" w:hAnsi="Times New Roman" w:cs="Times New Roman"/>
          <w:bCs/>
          <w:sz w:val="24"/>
          <w:szCs w:val="24"/>
        </w:rPr>
        <w:t>/PREE for IQA</w:t>
      </w:r>
      <w:r w:rsidRPr="00667474">
        <w:rPr>
          <w:rFonts w:ascii="Times New Roman" w:hAnsi="Times New Roman" w:cs="Times New Roman"/>
          <w:bCs/>
          <w:sz w:val="24"/>
          <w:szCs w:val="24"/>
        </w:rPr>
        <w:t xml:space="preserve"> etc</w:t>
      </w:r>
      <w:r w:rsidR="001D75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F10295" w14:textId="77777777" w:rsidR="00F86AE2" w:rsidRPr="00657B3A" w:rsidRDefault="00F86AE2" w:rsidP="00975A00">
      <w:pPr>
        <w:pStyle w:val="ListParagraph"/>
        <w:ind w:left="540"/>
        <w:rPr>
          <w:rFonts w:ascii="Times New Roman" w:hAnsi="Times New Roman" w:cs="Times New Roman"/>
          <w:bCs/>
          <w:sz w:val="24"/>
          <w:szCs w:val="24"/>
        </w:rPr>
      </w:pPr>
    </w:p>
    <w:p w14:paraId="693F4BA1" w14:textId="194B5B6E" w:rsidR="00981F79" w:rsidRDefault="00981F79" w:rsidP="00981F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F79">
        <w:rPr>
          <w:rFonts w:ascii="Times New Roman" w:hAnsi="Times New Roman" w:cs="Times New Roman"/>
          <w:b/>
          <w:sz w:val="28"/>
          <w:szCs w:val="28"/>
          <w:u w:val="single"/>
        </w:rPr>
        <w:t>Submission of Activity Calendar 202</w:t>
      </w:r>
      <w:r w:rsidR="0010183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07C5B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 w:rsidR="0010183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3C45423F" w14:textId="77777777" w:rsidR="00F934AE" w:rsidRPr="00981F79" w:rsidRDefault="00F934AE" w:rsidP="00F934AE">
      <w:pPr>
        <w:pStyle w:val="ListParagraph"/>
        <w:ind w:left="1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0B2DCC" w14:textId="36DA3C4B" w:rsidR="00981F79" w:rsidRPr="00682266" w:rsidRDefault="00981F79" w:rsidP="00981F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2266">
        <w:rPr>
          <w:rFonts w:ascii="Times New Roman" w:hAnsi="Times New Roman" w:cs="Times New Roman"/>
          <w:sz w:val="24"/>
          <w:szCs w:val="24"/>
        </w:rPr>
        <w:t xml:space="preserve">Each QEC needs to prepare </w:t>
      </w:r>
      <w:r w:rsidR="006246A4" w:rsidRPr="00682266">
        <w:rPr>
          <w:rFonts w:ascii="Times New Roman" w:hAnsi="Times New Roman" w:cs="Times New Roman"/>
          <w:sz w:val="24"/>
          <w:szCs w:val="24"/>
          <w:u w:val="single"/>
        </w:rPr>
        <w:t>an activity</w:t>
      </w:r>
      <w:r w:rsidRPr="00682266">
        <w:rPr>
          <w:rFonts w:ascii="Times New Roman" w:hAnsi="Times New Roman" w:cs="Times New Roman"/>
          <w:sz w:val="24"/>
          <w:szCs w:val="24"/>
          <w:u w:val="single"/>
        </w:rPr>
        <w:t xml:space="preserve"> calendar for 202</w:t>
      </w:r>
      <w:r w:rsidR="0040685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82266">
        <w:rPr>
          <w:rFonts w:ascii="Times New Roman" w:hAnsi="Times New Roman" w:cs="Times New Roman"/>
          <w:sz w:val="24"/>
          <w:szCs w:val="24"/>
          <w:u w:val="single"/>
        </w:rPr>
        <w:t>-2</w:t>
      </w:r>
      <w:r w:rsidR="0040685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82266">
        <w:rPr>
          <w:rFonts w:ascii="Times New Roman" w:hAnsi="Times New Roman" w:cs="Times New Roman"/>
          <w:sz w:val="24"/>
          <w:szCs w:val="24"/>
        </w:rPr>
        <w:t xml:space="preserve"> against the assigned targets in which activities related to all parameters</w:t>
      </w:r>
      <w:r w:rsidR="00BC4EDD" w:rsidRPr="00682266">
        <w:rPr>
          <w:rFonts w:ascii="Times New Roman" w:hAnsi="Times New Roman" w:cs="Times New Roman"/>
          <w:sz w:val="24"/>
          <w:szCs w:val="24"/>
        </w:rPr>
        <w:t xml:space="preserve"> need to be distributed</w:t>
      </w:r>
      <w:r w:rsidRPr="00682266">
        <w:rPr>
          <w:rFonts w:ascii="Times New Roman" w:hAnsi="Times New Roman" w:cs="Times New Roman"/>
          <w:sz w:val="24"/>
          <w:szCs w:val="24"/>
        </w:rPr>
        <w:t xml:space="preserve"> throughout the year. </w:t>
      </w:r>
    </w:p>
    <w:p w14:paraId="6FE8CCD0" w14:textId="30B43633" w:rsidR="00981F79" w:rsidRPr="002D34A3" w:rsidRDefault="00981F79" w:rsidP="00981F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2266">
        <w:rPr>
          <w:rFonts w:ascii="Times New Roman" w:hAnsi="Times New Roman" w:cs="Times New Roman"/>
          <w:sz w:val="24"/>
          <w:szCs w:val="24"/>
        </w:rPr>
        <w:t>The activity calendar need</w:t>
      </w:r>
      <w:r w:rsidR="00426A4F">
        <w:rPr>
          <w:rFonts w:ascii="Times New Roman" w:hAnsi="Times New Roman" w:cs="Times New Roman"/>
          <w:sz w:val="24"/>
          <w:szCs w:val="24"/>
        </w:rPr>
        <w:t>s</w:t>
      </w:r>
      <w:r w:rsidRPr="00682266">
        <w:rPr>
          <w:rFonts w:ascii="Times New Roman" w:hAnsi="Times New Roman" w:cs="Times New Roman"/>
          <w:sz w:val="24"/>
          <w:szCs w:val="24"/>
        </w:rPr>
        <w:t xml:space="preserve"> to be submitted to QAA-HEC by </w:t>
      </w:r>
      <w:r w:rsidR="002D34A3" w:rsidRPr="002D34A3">
        <w:rPr>
          <w:rFonts w:ascii="Times New Roman" w:hAnsi="Times New Roman" w:cs="Times New Roman"/>
          <w:sz w:val="24"/>
          <w:szCs w:val="24"/>
        </w:rPr>
        <w:t>30</w:t>
      </w:r>
      <w:r w:rsidRPr="002D34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34A3">
        <w:rPr>
          <w:rFonts w:ascii="Times New Roman" w:hAnsi="Times New Roman" w:cs="Times New Roman"/>
          <w:sz w:val="24"/>
          <w:szCs w:val="24"/>
        </w:rPr>
        <w:t xml:space="preserve"> </w:t>
      </w:r>
      <w:r w:rsidR="0010183E">
        <w:rPr>
          <w:rFonts w:ascii="Times New Roman" w:hAnsi="Times New Roman" w:cs="Times New Roman"/>
          <w:sz w:val="24"/>
          <w:szCs w:val="24"/>
        </w:rPr>
        <w:t>November</w:t>
      </w:r>
      <w:r w:rsidRPr="002D34A3">
        <w:rPr>
          <w:rFonts w:ascii="Times New Roman" w:hAnsi="Times New Roman" w:cs="Times New Roman"/>
          <w:sz w:val="24"/>
          <w:szCs w:val="24"/>
        </w:rPr>
        <w:t xml:space="preserve"> 202</w:t>
      </w:r>
      <w:r w:rsidR="00406856">
        <w:rPr>
          <w:rFonts w:ascii="Times New Roman" w:hAnsi="Times New Roman" w:cs="Times New Roman"/>
          <w:sz w:val="24"/>
          <w:szCs w:val="24"/>
        </w:rPr>
        <w:t>5</w:t>
      </w:r>
      <w:r w:rsidRPr="002D34A3">
        <w:rPr>
          <w:rFonts w:ascii="Times New Roman" w:hAnsi="Times New Roman" w:cs="Times New Roman"/>
          <w:sz w:val="24"/>
          <w:szCs w:val="24"/>
        </w:rPr>
        <w:t xml:space="preserve"> after getting it approved from </w:t>
      </w:r>
      <w:r w:rsidR="00406856">
        <w:rPr>
          <w:rFonts w:ascii="Times New Roman" w:hAnsi="Times New Roman" w:cs="Times New Roman"/>
          <w:sz w:val="24"/>
          <w:szCs w:val="24"/>
        </w:rPr>
        <w:t>the IQC</w:t>
      </w:r>
      <w:r w:rsidRPr="002D3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6425F" w14:textId="77777777" w:rsidR="00981F79" w:rsidRPr="00682266" w:rsidRDefault="00981F79" w:rsidP="00981F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2266">
        <w:rPr>
          <w:rFonts w:ascii="Times New Roman" w:hAnsi="Times New Roman" w:cs="Times New Roman"/>
          <w:sz w:val="24"/>
          <w:szCs w:val="24"/>
        </w:rPr>
        <w:t xml:space="preserve">Non-submission of activity calendar would be reflected in the </w:t>
      </w:r>
      <w:r w:rsidR="00BC4EDD" w:rsidRPr="00682266">
        <w:rPr>
          <w:rFonts w:ascii="Times New Roman" w:hAnsi="Times New Roman" w:cs="Times New Roman"/>
          <w:sz w:val="24"/>
          <w:szCs w:val="24"/>
        </w:rPr>
        <w:t>assessment letter.</w:t>
      </w:r>
    </w:p>
    <w:p w14:paraId="782D0542" w14:textId="6E2E9276" w:rsidR="00981F79" w:rsidRDefault="00981F79" w:rsidP="00981F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82266">
        <w:rPr>
          <w:rFonts w:ascii="Times New Roman" w:hAnsi="Times New Roman" w:cs="Times New Roman"/>
          <w:sz w:val="24"/>
          <w:szCs w:val="24"/>
        </w:rPr>
        <w:t xml:space="preserve">It’s entirely up to the QEC to map the activities in </w:t>
      </w:r>
      <w:r w:rsidR="006246A4" w:rsidRPr="00682266">
        <w:rPr>
          <w:rFonts w:ascii="Times New Roman" w:hAnsi="Times New Roman" w:cs="Times New Roman"/>
          <w:sz w:val="24"/>
          <w:szCs w:val="24"/>
        </w:rPr>
        <w:t>the activity</w:t>
      </w:r>
      <w:r w:rsidRPr="00682266">
        <w:rPr>
          <w:rFonts w:ascii="Times New Roman" w:hAnsi="Times New Roman" w:cs="Times New Roman"/>
          <w:sz w:val="24"/>
          <w:szCs w:val="24"/>
        </w:rPr>
        <w:t xml:space="preserve"> calendar as per their convenience, however if there would be any major deviation from activity calendar then proper justification would be required to be submitted to QAA along with YPR.</w:t>
      </w:r>
    </w:p>
    <w:p w14:paraId="722FB181" w14:textId="7AE0B63C" w:rsidR="00646DFB" w:rsidRDefault="00646DFB" w:rsidP="00981F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QEC</w:t>
      </w:r>
      <w:r w:rsidR="0010183E">
        <w:rPr>
          <w:rFonts w:ascii="Times New Roman" w:hAnsi="Times New Roman" w:cs="Times New Roman"/>
          <w:sz w:val="24"/>
          <w:szCs w:val="24"/>
        </w:rPr>
        <w:t xml:space="preserve"> through IQC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107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assign targets to each department/Institute/Constituent </w:t>
      </w:r>
      <w:r w:rsidR="00943329">
        <w:rPr>
          <w:rFonts w:ascii="Times New Roman" w:hAnsi="Times New Roman" w:cs="Times New Roman"/>
          <w:sz w:val="24"/>
          <w:szCs w:val="24"/>
        </w:rPr>
        <w:t>unit regarding</w:t>
      </w:r>
      <w:r>
        <w:rPr>
          <w:rFonts w:ascii="Times New Roman" w:hAnsi="Times New Roman" w:cs="Times New Roman"/>
          <w:sz w:val="24"/>
          <w:szCs w:val="24"/>
        </w:rPr>
        <w:t xml:space="preserve"> QA activities</w:t>
      </w:r>
      <w:r w:rsidR="006246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6A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ach department needs to prepare departmental level activity calendar (QEC will give orientation where required) in which Program wise details related to SARs</w:t>
      </w:r>
      <w:r w:rsidR="002A6BE2">
        <w:rPr>
          <w:rFonts w:ascii="Times New Roman" w:hAnsi="Times New Roman" w:cs="Times New Roman"/>
          <w:sz w:val="24"/>
          <w:szCs w:val="24"/>
        </w:rPr>
        <w:t xml:space="preserve"> (PREE for IQA)</w:t>
      </w:r>
      <w:r>
        <w:rPr>
          <w:rFonts w:ascii="Times New Roman" w:hAnsi="Times New Roman" w:cs="Times New Roman"/>
          <w:sz w:val="24"/>
          <w:szCs w:val="24"/>
        </w:rPr>
        <w:t>/Accreditation/Program Review need to be reflected.</w:t>
      </w:r>
      <w:r w:rsidR="002E5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A3F2B" w14:textId="77777777" w:rsidR="005251A1" w:rsidRPr="00682266" w:rsidRDefault="005251A1" w:rsidP="00646DFB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0E860F38" w14:textId="77777777" w:rsidR="009F33A9" w:rsidRPr="00981F79" w:rsidRDefault="00981F79" w:rsidP="00981F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F79">
        <w:rPr>
          <w:rFonts w:ascii="Times New Roman" w:hAnsi="Times New Roman" w:cs="Times New Roman"/>
          <w:b/>
          <w:sz w:val="28"/>
          <w:szCs w:val="28"/>
          <w:u w:val="single"/>
        </w:rPr>
        <w:t xml:space="preserve">Annual Assessment Targets </w:t>
      </w:r>
    </w:p>
    <w:p w14:paraId="48028C78" w14:textId="77777777" w:rsidR="00981F79" w:rsidRPr="00981F79" w:rsidRDefault="00981F79" w:rsidP="00981F79">
      <w:pPr>
        <w:ind w:left="-18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89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700"/>
        <w:gridCol w:w="7481"/>
      </w:tblGrid>
      <w:tr w:rsidR="009F33A9" w:rsidRPr="00AF6037" w14:paraId="4B2E715C" w14:textId="77777777" w:rsidTr="00800DD0">
        <w:trPr>
          <w:trHeight w:val="630"/>
        </w:trPr>
        <w:tc>
          <w:tcPr>
            <w:tcW w:w="713" w:type="dxa"/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A91E" w14:textId="77777777" w:rsidR="009F33A9" w:rsidRPr="00AF6037" w:rsidRDefault="009F33A9" w:rsidP="006800B3">
            <w:pPr>
              <w:ind w:left="-115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700" w:type="dxa"/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BAF59" w14:textId="77777777" w:rsidR="009F33A9" w:rsidRPr="00AF6037" w:rsidRDefault="009F33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7481" w:type="dxa"/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4A442" w14:textId="18603960" w:rsidR="009F33A9" w:rsidRPr="00AF6037" w:rsidRDefault="00593400" w:rsidP="004E5A26">
            <w:pPr>
              <w:tabs>
                <w:tab w:val="left" w:pos="7002"/>
              </w:tabs>
              <w:ind w:right="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Targets for YPR </w:t>
            </w:r>
            <w:r w:rsidR="00F0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60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0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 w:rsidR="00260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F33A9" w:rsidRPr="00AF6037" w14:paraId="61A1408F" w14:textId="77777777" w:rsidTr="00800DD0">
        <w:trPr>
          <w:trHeight w:val="630"/>
        </w:trPr>
        <w:tc>
          <w:tcPr>
            <w:tcW w:w="7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BA27" w14:textId="77777777" w:rsidR="009F33A9" w:rsidRPr="00AF6037" w:rsidRDefault="009F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3AF2" w14:textId="71D61C53" w:rsidR="009F33A9" w:rsidRPr="00AF6037" w:rsidRDefault="009F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Progress against</w:t>
            </w:r>
            <w:r w:rsidR="00335F5D">
              <w:rPr>
                <w:rFonts w:ascii="Times New Roman" w:hAnsi="Times New Roman" w:cs="Times New Roman"/>
                <w:sz w:val="24"/>
                <w:szCs w:val="24"/>
              </w:rPr>
              <w:t xml:space="preserve"> Review of Institutional Performance and Enhancement (RIPE)</w:t>
            </w:r>
            <w:r w:rsidR="000B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74A" w:rsidRPr="00101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marks)</w:t>
            </w:r>
          </w:p>
        </w:tc>
        <w:tc>
          <w:tcPr>
            <w:tcW w:w="7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D370B" w14:textId="65DFC276" w:rsidR="004D0113" w:rsidRPr="00C87F33" w:rsidRDefault="008C6113" w:rsidP="00C87F33">
            <w:pPr>
              <w:pStyle w:val="ListParagraph"/>
              <w:numPr>
                <w:ilvl w:val="0"/>
                <w:numId w:val="29"/>
              </w:numPr>
              <w:ind w:left="3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87F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Targets for those DAIs </w:t>
            </w:r>
            <w:r w:rsidR="0077343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that have </w:t>
            </w:r>
            <w:r w:rsidRPr="00C87F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conducted Self RIPE 2</w:t>
            </w:r>
            <w:r w:rsidR="00EC38B3" w:rsidRPr="00C87F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024-25</w:t>
            </w:r>
          </w:p>
          <w:p w14:paraId="48E845F1" w14:textId="3ED6798A" w:rsidR="004D0113" w:rsidRDefault="004F4333" w:rsidP="004D0113">
            <w:pPr>
              <w:pStyle w:val="ListParagraph"/>
              <w:numPr>
                <w:ilvl w:val="0"/>
                <w:numId w:val="1"/>
              </w:numPr>
              <w:ind w:left="252" w:hanging="2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4D0113" w:rsidRPr="002D34A3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>ation and Submission</w:t>
            </w:r>
            <w:r w:rsidR="004D0113" w:rsidRPr="002D34A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656737">
              <w:rPr>
                <w:rFonts w:ascii="Times New Roman" w:hAnsi="Times New Roman" w:cs="Times New Roman"/>
                <w:sz w:val="24"/>
                <w:szCs w:val="24"/>
              </w:rPr>
              <w:t xml:space="preserve">Updated </w:t>
            </w: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 xml:space="preserve">Institutional Performance </w:t>
            </w:r>
            <w:r w:rsidR="00D30200">
              <w:rPr>
                <w:rFonts w:ascii="Times New Roman" w:hAnsi="Times New Roman" w:cs="Times New Roman"/>
                <w:sz w:val="24"/>
                <w:szCs w:val="24"/>
              </w:rPr>
              <w:t xml:space="preserve">Enhancement </w:t>
            </w: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>Report (IP</w:t>
            </w:r>
            <w:r w:rsidR="00D3020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 xml:space="preserve">R) as per </w:t>
            </w:r>
            <w:r w:rsidR="00A97BA8">
              <w:rPr>
                <w:rFonts w:ascii="Times New Roman" w:hAnsi="Times New Roman" w:cs="Times New Roman"/>
                <w:sz w:val="24"/>
                <w:szCs w:val="24"/>
              </w:rPr>
              <w:t>PSG 2023</w:t>
            </w: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 xml:space="preserve"> guidelines. </w:t>
            </w:r>
            <w:r w:rsidR="00324DCC" w:rsidRPr="009B1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(06 marks)</w:t>
            </w:r>
          </w:p>
          <w:p w14:paraId="65A70CE7" w14:textId="1AAF10C5" w:rsidR="00FF352D" w:rsidRDefault="00FF352D" w:rsidP="00FF352D">
            <w:pPr>
              <w:ind w:lef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Targets of CQI (Continuous Quality Improvement) </w:t>
            </w:r>
            <w:r w:rsidR="005979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  <w:p w14:paraId="11D01761" w14:textId="11619C54" w:rsidR="004D0113" w:rsidRDefault="007145BD" w:rsidP="007145BD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Corrective Action Report against the Implementation Plan of RIPE 2024-25 </w:t>
            </w:r>
            <w:r w:rsidRPr="0071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1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marks)</w:t>
            </w:r>
          </w:p>
          <w:p w14:paraId="4EEDD899" w14:textId="77777777" w:rsidR="007145BD" w:rsidRPr="007145BD" w:rsidRDefault="007145BD" w:rsidP="007145BD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7914A" w14:textId="45215D68" w:rsidR="00214968" w:rsidRDefault="00214968" w:rsidP="002149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Note: </w:t>
            </w:r>
            <w:r w:rsidR="001F0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IPER 2025-26 and Corrective</w:t>
            </w:r>
            <w:r w:rsidR="004E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0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Actions Report</w:t>
            </w:r>
            <w:r w:rsidR="004E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against the Implementation Plan of Self RIPE </w:t>
            </w:r>
            <w:r w:rsidR="004E5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must be </w:t>
            </w:r>
            <w:r w:rsidR="001F0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provided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duly approved by the IQC.</w:t>
            </w:r>
          </w:p>
          <w:p w14:paraId="7147FB3A" w14:textId="77777777" w:rsidR="0055378D" w:rsidRDefault="0055378D" w:rsidP="005537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E4461" w14:textId="684EFEC6" w:rsidR="004D0113" w:rsidRPr="00C87F33" w:rsidRDefault="00EC38B3" w:rsidP="00C87F33">
            <w:pPr>
              <w:pStyle w:val="ListParagraph"/>
              <w:numPr>
                <w:ilvl w:val="0"/>
                <w:numId w:val="29"/>
              </w:numPr>
              <w:ind w:left="3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87F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Targets for those DAIs</w:t>
            </w:r>
            <w:r w:rsidR="0077343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that have </w:t>
            </w:r>
            <w:r w:rsidRPr="00C87F3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not conducted Self RIPE 2024-25</w:t>
            </w:r>
          </w:p>
          <w:p w14:paraId="0DCCBE20" w14:textId="77777777" w:rsidR="0055378D" w:rsidRDefault="0055378D" w:rsidP="0055378D">
            <w:pPr>
              <w:pStyle w:val="ListParagraph"/>
              <w:numPr>
                <w:ilvl w:val="0"/>
                <w:numId w:val="1"/>
              </w:numPr>
              <w:ind w:left="252" w:hanging="2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Preparation and Submission of Institutional Performance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Enhancement </w:t>
            </w: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>Report (IP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 xml:space="preserve">R) as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PSG 2023</w:t>
            </w:r>
            <w:r w:rsidRPr="002D34A3">
              <w:rPr>
                <w:rFonts w:ascii="Times New Roman" w:hAnsi="Times New Roman" w:cs="Times New Roman"/>
                <w:sz w:val="24"/>
                <w:szCs w:val="24"/>
              </w:rPr>
              <w:t xml:space="preserve"> guidelines. </w:t>
            </w:r>
            <w:r w:rsidRPr="009B1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(06 marks)</w:t>
            </w:r>
          </w:p>
          <w:p w14:paraId="02A683E8" w14:textId="77777777" w:rsidR="0055378D" w:rsidRPr="00751BF0" w:rsidRDefault="0055378D" w:rsidP="0055378D">
            <w:pPr>
              <w:pStyle w:val="ListParagraph"/>
              <w:numPr>
                <w:ilvl w:val="0"/>
                <w:numId w:val="1"/>
              </w:numPr>
              <w:ind w:left="252" w:hanging="27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Conduct Self-RIPE as per the guidelines provided by QAA </w:t>
            </w:r>
          </w:p>
          <w:p w14:paraId="491F0A30" w14:textId="77777777" w:rsidR="0055378D" w:rsidRPr="00856734" w:rsidRDefault="0055378D" w:rsidP="005537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all evaluators are internal member </w:t>
            </w:r>
            <w:r w:rsidRPr="007104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(03 marks)</w:t>
            </w:r>
          </w:p>
          <w:p w14:paraId="46D6A20A" w14:textId="77777777" w:rsidR="0055378D" w:rsidRPr="00A722C3" w:rsidRDefault="0055378D" w:rsidP="0055378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at least one evaluator is external member </w:t>
            </w:r>
            <w:r w:rsidRPr="0071047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(04 marks)</w:t>
            </w:r>
          </w:p>
          <w:p w14:paraId="636B7164" w14:textId="77777777" w:rsidR="0055378D" w:rsidRDefault="0055378D" w:rsidP="0055378D">
            <w:pPr>
              <w:ind w:lef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>Targets of CQI (Continuous Quality Improvement)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  <w:p w14:paraId="2BE9F9A6" w14:textId="77777777" w:rsidR="0055378D" w:rsidRPr="00951E11" w:rsidRDefault="0055378D" w:rsidP="0055378D">
            <w:pPr>
              <w:pStyle w:val="ListParagraph"/>
              <w:numPr>
                <w:ilvl w:val="0"/>
                <w:numId w:val="1"/>
              </w:numPr>
              <w:ind w:left="252" w:hanging="2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University must prepare Implementation Plan as per QAA guidelines against Self RIPE </w:t>
            </w:r>
            <w:r w:rsidRPr="00710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(02 marks)</w:t>
            </w:r>
          </w:p>
          <w:p w14:paraId="56300AB8" w14:textId="32797D32" w:rsidR="00B22335" w:rsidRPr="00951E11" w:rsidRDefault="00C845F6" w:rsidP="00FF352D">
            <w:pPr>
              <w:pStyle w:val="ListParagraph"/>
              <w:numPr>
                <w:ilvl w:val="0"/>
                <w:numId w:val="1"/>
              </w:numPr>
              <w:ind w:left="252" w:hanging="2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E11">
              <w:rPr>
                <w:rFonts w:ascii="Times New Roman" w:hAnsi="Times New Roman" w:cs="Times New Roman"/>
                <w:sz w:val="24"/>
                <w:szCs w:val="24"/>
              </w:rPr>
              <w:t xml:space="preserve">Corrective Action Report </w:t>
            </w:r>
            <w:r w:rsidR="00B7221E" w:rsidRPr="00951E11">
              <w:rPr>
                <w:rFonts w:ascii="Times New Roman" w:hAnsi="Times New Roman" w:cs="Times New Roman"/>
                <w:sz w:val="24"/>
                <w:szCs w:val="24"/>
              </w:rPr>
              <w:t>will be Normalized</w:t>
            </w:r>
            <w:r w:rsidR="0095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E11" w:rsidRPr="00951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(04 marks)</w:t>
            </w:r>
          </w:p>
          <w:p w14:paraId="565D1726" w14:textId="696D661F" w:rsidR="00D640AB" w:rsidRDefault="00D54C47" w:rsidP="004D01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Note: Self RIPE Report must </w:t>
            </w:r>
            <w:r w:rsidR="00395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 submitted </w:t>
            </w:r>
            <w:r w:rsidR="00214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lines</w:t>
            </w:r>
            <w:r w:rsidR="00395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PSG 2023 and duly approved by the IQC.</w:t>
            </w:r>
          </w:p>
          <w:p w14:paraId="77B12339" w14:textId="631F1135" w:rsidR="0026406F" w:rsidRPr="00AF6037" w:rsidRDefault="0026406F" w:rsidP="00FF352D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3A9" w:rsidRPr="00AF6037" w14:paraId="00332354" w14:textId="77777777" w:rsidTr="00800DD0">
        <w:trPr>
          <w:trHeight w:val="610"/>
        </w:trPr>
        <w:tc>
          <w:tcPr>
            <w:tcW w:w="7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9BB9" w14:textId="77777777" w:rsidR="009F33A9" w:rsidRPr="00AF6037" w:rsidRDefault="009F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BFA8" w14:textId="190DEFC2" w:rsidR="009F33A9" w:rsidRPr="00AF6037" w:rsidRDefault="0080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F33A9" w:rsidRPr="00AF6037">
              <w:rPr>
                <w:rFonts w:ascii="Times New Roman" w:hAnsi="Times New Roman" w:cs="Times New Roman"/>
                <w:sz w:val="24"/>
                <w:szCs w:val="24"/>
              </w:rPr>
              <w:t>rogress against Program Self-Assessment</w:t>
            </w:r>
            <w:r w:rsidR="00780185">
              <w:rPr>
                <w:rFonts w:ascii="Times New Roman" w:hAnsi="Times New Roman" w:cs="Times New Roman"/>
                <w:sz w:val="24"/>
                <w:szCs w:val="24"/>
              </w:rPr>
              <w:t xml:space="preserve"> / P</w:t>
            </w:r>
            <w:r w:rsidR="00643A44">
              <w:rPr>
                <w:rFonts w:ascii="Times New Roman" w:hAnsi="Times New Roman" w:cs="Times New Roman"/>
                <w:sz w:val="24"/>
                <w:szCs w:val="24"/>
              </w:rPr>
              <w:t>rogram Review for Effectiveness and Enhancement (P</w:t>
            </w:r>
            <w:r w:rsidR="00780185">
              <w:rPr>
                <w:rFonts w:ascii="Times New Roman" w:hAnsi="Times New Roman" w:cs="Times New Roman"/>
                <w:sz w:val="24"/>
                <w:szCs w:val="24"/>
              </w:rPr>
              <w:t>REE for IQA)</w:t>
            </w:r>
            <w:r w:rsidR="00AE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8E7" w:rsidRPr="00A94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marks)</w:t>
            </w:r>
          </w:p>
        </w:tc>
        <w:tc>
          <w:tcPr>
            <w:tcW w:w="7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A72D" w14:textId="454225EE" w:rsidR="00462BCE" w:rsidRDefault="00C05EA2" w:rsidP="00C0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EA2">
              <w:rPr>
                <w:rFonts w:ascii="Times New Roman" w:hAnsi="Times New Roman" w:cs="Times New Roman"/>
                <w:sz w:val="24"/>
                <w:szCs w:val="24"/>
              </w:rPr>
              <w:t xml:space="preserve">Each DAI is required to </w:t>
            </w:r>
            <w:r w:rsidR="00A944B4" w:rsidRPr="00C05EA2">
              <w:rPr>
                <w:rFonts w:ascii="Times New Roman" w:hAnsi="Times New Roman" w:cs="Times New Roman"/>
                <w:sz w:val="24"/>
                <w:szCs w:val="24"/>
              </w:rPr>
              <w:t>conduct Self</w:t>
            </w:r>
            <w:r w:rsidRPr="00C05EA2">
              <w:rPr>
                <w:rFonts w:ascii="Times New Roman" w:hAnsi="Times New Roman" w:cs="Times New Roman"/>
                <w:sz w:val="24"/>
                <w:szCs w:val="24"/>
              </w:rPr>
              <w:t xml:space="preserve">-Assessment Report (SAR) based on the PREE standards </w:t>
            </w:r>
            <w:r w:rsidR="00A81298">
              <w:rPr>
                <w:rFonts w:ascii="Times New Roman" w:hAnsi="Times New Roman" w:cs="Times New Roman"/>
                <w:sz w:val="24"/>
                <w:szCs w:val="24"/>
              </w:rPr>
              <w:t xml:space="preserve">as per SAR Targets </w:t>
            </w:r>
            <w:r w:rsidR="00A81298" w:rsidRPr="00A81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(attached)</w:t>
            </w:r>
            <w:r w:rsidRPr="00C05EA2">
              <w:rPr>
                <w:rFonts w:ascii="Times New Roman" w:hAnsi="Times New Roman" w:cs="Times New Roman"/>
                <w:sz w:val="24"/>
                <w:szCs w:val="24"/>
              </w:rPr>
              <w:t>. Additionally, a corrective actions report must be prepared for all SARs completed by the end of the 202</w:t>
            </w:r>
            <w:r w:rsidR="00A81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5EA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81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5EA2">
              <w:rPr>
                <w:rFonts w:ascii="Times New Roman" w:hAnsi="Times New Roman" w:cs="Times New Roman"/>
                <w:sz w:val="24"/>
                <w:szCs w:val="24"/>
              </w:rPr>
              <w:t xml:space="preserve"> academic </w:t>
            </w:r>
            <w:r w:rsidR="00C87F33" w:rsidRPr="00C05EA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="00C87F33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2999DA" w14:textId="5C2B56BE" w:rsidR="00CF0000" w:rsidRDefault="00CF0000" w:rsidP="00CF00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Note: </w:t>
            </w:r>
            <w:r w:rsidR="000D3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 Reports must be submitted in lines with PSG 2023 duly signed by the concerned </w:t>
            </w:r>
            <w:r w:rsidR="00A94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PT, AT</w:t>
            </w:r>
            <w:r w:rsidR="00AF1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6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members </w:t>
            </w:r>
            <w:r w:rsidR="00C87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="00A94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approved by the IQC.</w:t>
            </w:r>
            <w:r w:rsidR="00FD5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(08 marks)</w:t>
            </w:r>
          </w:p>
          <w:p w14:paraId="75AFD2D7" w14:textId="45E38BC8" w:rsidR="00C05EA2" w:rsidRPr="000D3AA5" w:rsidRDefault="000D3AA5" w:rsidP="00C05E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2. A letter duly approved from Director Academics must be provided showing all the active programs in Academic year 2025-26.</w:t>
            </w:r>
          </w:p>
          <w:p w14:paraId="53D8A2D5" w14:textId="77777777" w:rsidR="000D3AA5" w:rsidRDefault="000D3AA5" w:rsidP="00C05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4C8F2" w14:textId="0799DB3C" w:rsidR="00C02106" w:rsidRPr="00C05EA2" w:rsidRDefault="008D64F5" w:rsidP="00C05EA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EA2">
              <w:rPr>
                <w:rFonts w:ascii="Times New Roman" w:hAnsi="Times New Roman" w:cs="Times New Roman"/>
                <w:sz w:val="24"/>
                <w:szCs w:val="24"/>
              </w:rPr>
              <w:t xml:space="preserve">Total Number of Programs in which Corrective Actions have been taken: </w:t>
            </w:r>
            <w:r w:rsidRPr="00C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B1CDE" w:rsidRPr="00C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marks</w:t>
            </w:r>
            <w:r w:rsidRPr="00C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3EF0D96" w14:textId="27E5B947" w:rsidR="008D64F5" w:rsidRPr="00C05EA2" w:rsidRDefault="008D64F5" w:rsidP="00C05EA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EA2">
              <w:rPr>
                <w:rFonts w:ascii="Times New Roman" w:hAnsi="Times New Roman" w:cs="Times New Roman"/>
                <w:sz w:val="24"/>
                <w:szCs w:val="24"/>
              </w:rPr>
              <w:t xml:space="preserve">Online feedback surveys conducted for each program </w:t>
            </w:r>
            <w:r w:rsidRPr="00C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B1CDE" w:rsidRPr="00C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B1CDE" w:rsidRPr="00C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C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28D9F3A" w14:textId="77777777" w:rsidR="00A74650" w:rsidRDefault="00A74650" w:rsidP="00CF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D5517" w14:textId="7F9B9BF5" w:rsidR="00967C58" w:rsidRDefault="00967C58" w:rsidP="00722DB6">
            <w:pPr>
              <w:ind w:lef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>Targets of CQI (Continuous Quality Improvement)</w:t>
            </w:r>
          </w:p>
          <w:p w14:paraId="75C61357" w14:textId="6D7D2880" w:rsidR="00967C58" w:rsidRPr="00967C58" w:rsidRDefault="00967C58" w:rsidP="00722DB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Corrective actions</w:t>
            </w:r>
          </w:p>
          <w:p w14:paraId="4AE0F574" w14:textId="6AB17CA0" w:rsidR="00967C58" w:rsidRDefault="00967C58" w:rsidP="00722D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 of corrective actions taken on all SARs completed till </w:t>
            </w:r>
            <w:r w:rsidR="002A399A" w:rsidRPr="002A39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2D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99A" w:rsidRPr="002A399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C2D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If there are some corrective actions pending in any program, please</w:t>
            </w:r>
            <w:r w:rsidR="00BD0DA8">
              <w:rPr>
                <w:rFonts w:ascii="Times New Roman" w:hAnsi="Times New Roman" w:cs="Times New Roman"/>
                <w:sz w:val="24"/>
                <w:szCs w:val="24"/>
              </w:rPr>
              <w:t xml:space="preserve"> give the reasons for not implemen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ting the corrective actions</w:t>
            </w:r>
          </w:p>
          <w:p w14:paraId="33353EEE" w14:textId="605E5253" w:rsidR="00967C58" w:rsidRDefault="00967C58" w:rsidP="00722DB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Actions taken on the online feedback survey reports of </w:t>
            </w:r>
            <w:r w:rsidR="00F075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305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68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075AC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068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936D85" w14:textId="5C99F38F" w:rsidR="00975A00" w:rsidRPr="00975A00" w:rsidRDefault="00550E93" w:rsidP="00975A0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surveys must be conducted online through </w:t>
            </w:r>
            <w:r w:rsidR="00975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effective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digital platform</w:t>
            </w:r>
            <w:r w:rsidR="00FE36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8BAC253" w14:textId="1A9F938D" w:rsidR="00975A00" w:rsidRPr="00975A00" w:rsidRDefault="00975A00" w:rsidP="00975A0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All the survey results must be analyzed through effective analytical tools.</w:t>
            </w:r>
          </w:p>
          <w:p w14:paraId="1CBBF77F" w14:textId="00B670D2" w:rsidR="00967C58" w:rsidRDefault="00967C58" w:rsidP="00722D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C58">
              <w:rPr>
                <w:rFonts w:ascii="Times New Roman" w:hAnsi="Times New Roman" w:cs="Times New Roman"/>
                <w:sz w:val="24"/>
                <w:szCs w:val="24"/>
              </w:rPr>
              <w:t>Response rate for each survey</w:t>
            </w:r>
            <w:r w:rsidR="00BD0DA8">
              <w:rPr>
                <w:rFonts w:ascii="Times New Roman" w:hAnsi="Times New Roman" w:cs="Times New Roman"/>
                <w:sz w:val="24"/>
                <w:szCs w:val="24"/>
              </w:rPr>
              <w:t xml:space="preserve"> (PROGRAM WISE)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BD0D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0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6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0DA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068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127E1A" w14:textId="77777777" w:rsidR="00BD0DA8" w:rsidRDefault="00BD0DA8" w:rsidP="00BD0DA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Evaluation by Student</w:t>
            </w:r>
          </w:p>
          <w:p w14:paraId="4A7CA9C6" w14:textId="77777777" w:rsidR="00BD0DA8" w:rsidRDefault="00BD0DA8" w:rsidP="00BD0DA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Teachers’ Evaluation by Student</w:t>
            </w:r>
          </w:p>
          <w:p w14:paraId="2B89F45C" w14:textId="77777777" w:rsidR="00BD0DA8" w:rsidRDefault="00BD0DA8" w:rsidP="00BD0DA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Graduating Student Survey</w:t>
            </w:r>
          </w:p>
          <w:p w14:paraId="667048AF" w14:textId="77777777" w:rsidR="00BD0DA8" w:rsidRDefault="00BD0DA8" w:rsidP="00BD0DA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Alumni Survey</w:t>
            </w:r>
          </w:p>
          <w:p w14:paraId="7CA1448D" w14:textId="77777777" w:rsidR="00BD0DA8" w:rsidRDefault="00BD0DA8" w:rsidP="00BD0DA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Survey</w:t>
            </w:r>
          </w:p>
          <w:p w14:paraId="51CFD367" w14:textId="77777777" w:rsidR="00BD0DA8" w:rsidRDefault="00BD0DA8" w:rsidP="00BD0DA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Evaluation by Teacher</w:t>
            </w:r>
          </w:p>
          <w:p w14:paraId="73B4F54B" w14:textId="2AD2D09A" w:rsidR="00967C58" w:rsidRPr="00967C58" w:rsidRDefault="00967C58" w:rsidP="0081733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3A9" w:rsidRPr="00AF6037" w14:paraId="2EA8DFB8" w14:textId="77777777" w:rsidTr="00800DD0">
        <w:trPr>
          <w:trHeight w:val="1177"/>
        </w:trPr>
        <w:tc>
          <w:tcPr>
            <w:tcW w:w="7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0257" w14:textId="77777777" w:rsidR="009F33A9" w:rsidRPr="00AF6037" w:rsidRDefault="009F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0A99" w14:textId="77777777" w:rsidR="00A944B4" w:rsidRDefault="009F33A9" w:rsidP="00A944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Accreditation</w:t>
            </w:r>
            <w:r w:rsidR="00A9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4B4" w:rsidRPr="00C33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(14 marks)</w:t>
            </w:r>
          </w:p>
          <w:p w14:paraId="3A699F9F" w14:textId="7C2A7914" w:rsidR="009F33A9" w:rsidRPr="00AF6037" w:rsidRDefault="009F3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vAlign w:val="center"/>
            <w:hideMark/>
          </w:tcPr>
          <w:p w14:paraId="011D5ABA" w14:textId="7FBD2B9F" w:rsidR="009F33A9" w:rsidRDefault="009F33A9" w:rsidP="00722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All programs offered by the university either at Main Campus, Sub Campus or any affiliated college that fall under purview of any Accreditation Council need to be accredited</w:t>
            </w:r>
            <w:r w:rsidR="00722DB6">
              <w:rPr>
                <w:rFonts w:ascii="Times New Roman" w:hAnsi="Times New Roman" w:cs="Times New Roman"/>
                <w:sz w:val="24"/>
                <w:szCs w:val="24"/>
              </w:rPr>
              <w:t>/reaccredited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 from the respective council</w:t>
            </w:r>
            <w:r w:rsidR="00722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8BBDE9" w14:textId="77777777" w:rsidR="001D1B28" w:rsidRDefault="001D1B28" w:rsidP="00722D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4DB2672" w14:textId="5618DBCF" w:rsidR="00722DB6" w:rsidRDefault="00330AEB" w:rsidP="00722D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</w:t>
            </w:r>
            <w:r w:rsidR="001D1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T</w:t>
            </w:r>
            <w:r w:rsidR="00722DB6" w:rsidRPr="00722D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he Accreditation must be valid on 30</w:t>
            </w:r>
            <w:r w:rsidR="00722DB6" w:rsidRPr="00722DB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th</w:t>
            </w:r>
            <w:r w:rsidR="00F075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June, 202</w:t>
            </w:r>
            <w:r w:rsidR="00406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666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22D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 all programs</w:t>
            </w:r>
          </w:p>
          <w:p w14:paraId="3F71C24D" w14:textId="53FAC009" w:rsidR="00B40969" w:rsidRDefault="00B40969" w:rsidP="00722D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0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B40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the total marks will be equally divided amongst the respective councils under which the programs of concerned DAI fall. </w:t>
            </w:r>
          </w:p>
          <w:p w14:paraId="5E2E3B61" w14:textId="223C2F6D" w:rsidR="00B40969" w:rsidRPr="00722DB6" w:rsidRDefault="00B40969" w:rsidP="00722DB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0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Note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40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If no program of the DAI is fall under purview of any Accreditation Council, these marks will be normalized</w:t>
            </w:r>
            <w:r w:rsidR="001D1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9F33A9" w:rsidRPr="00AF6037" w14:paraId="3B8928DF" w14:textId="77777777" w:rsidTr="00800DD0">
        <w:trPr>
          <w:trHeight w:val="862"/>
        </w:trPr>
        <w:tc>
          <w:tcPr>
            <w:tcW w:w="713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4EDE" w14:textId="77777777" w:rsidR="009F33A9" w:rsidRPr="00AF6037" w:rsidRDefault="009F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D56E5" w14:textId="43314AC6" w:rsidR="009F33A9" w:rsidRPr="00AF6037" w:rsidRDefault="00870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Graduate Program Review (GPR)/ 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Ph. D. and MS/M. Phil &amp; Equivalent Program Review</w:t>
            </w:r>
            <w:r w:rsidR="0007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380">
              <w:rPr>
                <w:rFonts w:ascii="Times New Roman" w:hAnsi="Times New Roman" w:cs="Times New Roman"/>
                <w:sz w:val="24"/>
                <w:szCs w:val="24"/>
              </w:rPr>
              <w:t xml:space="preserve">Based on PREE Standards </w:t>
            </w:r>
            <w:r w:rsidR="005F5380" w:rsidRPr="00A94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(14 marks)</w:t>
            </w:r>
          </w:p>
        </w:tc>
        <w:tc>
          <w:tcPr>
            <w:tcW w:w="7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DDCE" w14:textId="0919DC97" w:rsidR="008707F5" w:rsidRDefault="00B3685A" w:rsidP="0087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707F5" w:rsidRPr="003928AA">
              <w:rPr>
                <w:rFonts w:ascii="Times New Roman" w:hAnsi="Times New Roman" w:cs="Times New Roman"/>
                <w:sz w:val="24"/>
                <w:szCs w:val="24"/>
              </w:rPr>
              <w:t xml:space="preserve">ll DAIs must carry out a Self-Review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Graduate Programs </w:t>
            </w:r>
            <w:r w:rsidR="008707F5" w:rsidRPr="003928AA">
              <w:rPr>
                <w:rFonts w:ascii="Times New Roman" w:hAnsi="Times New Roman" w:cs="Times New Roman"/>
                <w:sz w:val="24"/>
                <w:szCs w:val="24"/>
              </w:rPr>
              <w:t>in the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07F5" w:rsidRPr="003928AA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07F5" w:rsidRPr="003928AA">
              <w:rPr>
                <w:rFonts w:ascii="Times New Roman" w:hAnsi="Times New Roman" w:cs="Times New Roman"/>
                <w:sz w:val="24"/>
                <w:szCs w:val="24"/>
              </w:rPr>
              <w:t xml:space="preserve"> period.</w:t>
            </w:r>
            <w:r w:rsidR="009A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91D" w:rsidRPr="007F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47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BC7025" w:rsidRPr="007F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  <w:r w:rsidR="009A491D" w:rsidRPr="007F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0D0E32E" w14:textId="77777777" w:rsidR="008707F5" w:rsidRDefault="008707F5" w:rsidP="00870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99A4" w14:textId="41171198" w:rsidR="009F33A9" w:rsidRPr="00AF6037" w:rsidRDefault="009F33A9" w:rsidP="00722DB6">
            <w:pPr>
              <w:pStyle w:val="ListParagraph"/>
              <w:numPr>
                <w:ilvl w:val="0"/>
                <w:numId w:val="4"/>
              </w:num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Updating of data related to all </w:t>
            </w:r>
            <w:proofErr w:type="gramStart"/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MS/M.Phil./</w:t>
            </w:r>
            <w:proofErr w:type="gramEnd"/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Equivalent and Ph.D. programs</w:t>
            </w:r>
            <w:r w:rsidR="00295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3FF515" w14:textId="63693C5D" w:rsidR="009F33A9" w:rsidRPr="00AF6037" w:rsidRDefault="009F33A9" w:rsidP="00722DB6">
            <w:pPr>
              <w:pStyle w:val="ListParagraph"/>
              <w:numPr>
                <w:ilvl w:val="0"/>
                <w:numId w:val="4"/>
              </w:num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Conduct PhD Program Review and MS/M. Phil &amp; Equivalent Program Self Review in the same </w:t>
            </w:r>
            <w:r w:rsidR="00B330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1D16">
              <w:rPr>
                <w:rFonts w:ascii="Times New Roman" w:hAnsi="Times New Roman" w:cs="Times New Roman"/>
                <w:sz w:val="24"/>
                <w:szCs w:val="24"/>
              </w:rPr>
              <w:t>ssessment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 year </w:t>
            </w:r>
            <w:proofErr w:type="gramStart"/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i.e.</w:t>
            </w:r>
            <w:proofErr w:type="gramEnd"/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 from 1</w:t>
            </w:r>
            <w:r w:rsidRPr="00AF60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 July, </w:t>
            </w:r>
            <w:r w:rsidR="00F075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 to 30</w:t>
            </w:r>
            <w:r w:rsidRPr="00AF603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3B9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A75D9A" w:rsidRPr="00AF60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9EB90" w14:textId="2E11C9E0" w:rsidR="00A75D9A" w:rsidRDefault="00A75D9A" w:rsidP="00722DB6">
            <w:pPr>
              <w:pStyle w:val="ListParagraph"/>
              <w:numPr>
                <w:ilvl w:val="0"/>
                <w:numId w:val="4"/>
              </w:num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If HEC has conducted the Program Review in </w:t>
            </w:r>
            <w:r w:rsidR="00F075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4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5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5A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95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, then the university need</w:t>
            </w:r>
            <w:r w:rsidR="00F26A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 to evaluate the implementation status of that report in the Self Review and submit complianc</w:t>
            </w:r>
            <w:r w:rsidR="00722DB6">
              <w:rPr>
                <w:rFonts w:ascii="Times New Roman" w:hAnsi="Times New Roman" w:cs="Times New Roman"/>
                <w:sz w:val="24"/>
                <w:szCs w:val="24"/>
              </w:rPr>
              <w:t>e report to HEC (along with YPR</w:t>
            </w: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D85584" w14:textId="69FE3649" w:rsidR="00822C58" w:rsidRDefault="008B4869" w:rsidP="00722DB6">
            <w:pPr>
              <w:pStyle w:val="ListParagraph"/>
              <w:numPr>
                <w:ilvl w:val="0"/>
                <w:numId w:val="4"/>
              </w:numPr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Self-Graduate</w:t>
            </w:r>
            <w:r w:rsidR="00BC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C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C7025">
              <w:rPr>
                <w:rFonts w:ascii="Times New Roman" w:hAnsi="Times New Roman" w:cs="Times New Roman"/>
                <w:sz w:val="24"/>
                <w:szCs w:val="24"/>
              </w:rPr>
              <w:t xml:space="preserve">rogram </w:t>
            </w:r>
            <w:r w:rsidR="00822C5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C7025">
              <w:rPr>
                <w:rFonts w:ascii="Times New Roman" w:hAnsi="Times New Roman" w:cs="Times New Roman"/>
                <w:sz w:val="24"/>
                <w:szCs w:val="24"/>
              </w:rPr>
              <w:t>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(SGPR)</w:t>
            </w:r>
            <w:r w:rsidR="00BC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C58">
              <w:rPr>
                <w:rFonts w:ascii="Times New Roman" w:hAnsi="Times New Roman" w:cs="Times New Roman"/>
                <w:sz w:val="24"/>
                <w:szCs w:val="24"/>
              </w:rPr>
              <w:t>report must contain the details of all MS/MPhil/P</w:t>
            </w:r>
            <w:r w:rsidR="00C45A0A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r w:rsidR="00822C58">
              <w:rPr>
                <w:rFonts w:ascii="Times New Roman" w:hAnsi="Times New Roman" w:cs="Times New Roman"/>
                <w:sz w:val="24"/>
                <w:szCs w:val="24"/>
              </w:rPr>
              <w:t xml:space="preserve"> gone through self-review</w:t>
            </w:r>
            <w:r w:rsidR="00D16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169A1">
              <w:rPr>
                <w:rFonts w:ascii="Times New Roman" w:hAnsi="Times New Roman" w:cs="Times New Roman"/>
                <w:sz w:val="24"/>
                <w:szCs w:val="24"/>
              </w:rPr>
              <w:t>i.e.</w:t>
            </w:r>
            <w:proofErr w:type="gramEnd"/>
            <w:r w:rsidR="00D169A1">
              <w:rPr>
                <w:rFonts w:ascii="Times New Roman" w:hAnsi="Times New Roman" w:cs="Times New Roman"/>
                <w:sz w:val="24"/>
                <w:szCs w:val="24"/>
              </w:rPr>
              <w:t xml:space="preserve"> Number and Names</w:t>
            </w:r>
            <w:r w:rsidR="0082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BED159" w14:textId="77777777" w:rsidR="00356297" w:rsidRPr="00AF6037" w:rsidRDefault="00356297" w:rsidP="00356297">
            <w:pPr>
              <w:pStyle w:val="ListParagraph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21B99" w14:textId="1C9AC2E6" w:rsidR="00967C58" w:rsidRDefault="00967C58" w:rsidP="00722DB6">
            <w:pPr>
              <w:ind w:left="-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>Targets of CQI (Continuous Quality Improvement)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  <w:r w:rsidRPr="00967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  <w:p w14:paraId="3408F324" w14:textId="0FD39F80" w:rsidR="00822C58" w:rsidRPr="00822C58" w:rsidRDefault="00822C58" w:rsidP="00822C5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Submission of implementation plan against GPR report (in both cases Self GPR &amp; HEC Review)</w:t>
            </w:r>
          </w:p>
          <w:p w14:paraId="6899955F" w14:textId="33BB0BC0" w:rsidR="00A75D9A" w:rsidRDefault="00664B29" w:rsidP="00722D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HEC conducted the review in </w:t>
            </w:r>
            <w:r w:rsidR="00F075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5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47C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45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the corrective measures taken against the report of HEC and whether HEC is satisfied with compliance report or not</w:t>
            </w:r>
            <w:r w:rsidR="0082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0440B7" w14:textId="52E75CB2" w:rsidR="00664B29" w:rsidRDefault="00664B29" w:rsidP="00722DB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Self Review, status of corrective measures taken against the self-review report of </w:t>
            </w:r>
            <w:r w:rsidR="00F075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4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F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44F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45F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993D65" w14:textId="77777777" w:rsidR="00323724" w:rsidRPr="00967C58" w:rsidRDefault="00323724" w:rsidP="0032372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39934" w14:textId="1FE094D9" w:rsidR="009F33A9" w:rsidRPr="00AF6037" w:rsidRDefault="009F33A9" w:rsidP="00722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those DAIs that have sub-campuses that are offering </w:t>
            </w:r>
            <w:r w:rsidR="00A75D9A" w:rsidRPr="00AF603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AF6037">
              <w:rPr>
                <w:rFonts w:ascii="Times New Roman" w:hAnsi="Times New Roman" w:cs="Times New Roman"/>
                <w:b/>
                <w:sz w:val="24"/>
                <w:szCs w:val="24"/>
              </w:rPr>
              <w:t>S/M.</w:t>
            </w:r>
            <w:r w:rsidR="00683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6037">
              <w:rPr>
                <w:rFonts w:ascii="Times New Roman" w:hAnsi="Times New Roman" w:cs="Times New Roman"/>
                <w:b/>
                <w:sz w:val="24"/>
                <w:szCs w:val="24"/>
              </w:rPr>
              <w:t>Phil./Equivalent and/or Ph.D. programs need to perform the self-Review at each sub campus</w:t>
            </w:r>
            <w:r w:rsidR="008E4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separately and share separate reports</w:t>
            </w:r>
            <w:r w:rsidR="007F4388">
              <w:rPr>
                <w:rFonts w:ascii="Times New Roman" w:hAnsi="Times New Roman" w:cs="Times New Roman"/>
                <w:b/>
                <w:sz w:val="24"/>
                <w:szCs w:val="24"/>
              </w:rPr>
              <w:t>, implementation plan</w:t>
            </w:r>
            <w:r w:rsidR="00B44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corrective measures taken against review</w:t>
            </w:r>
            <w:r w:rsidR="00722DB6">
              <w:rPr>
                <w:rFonts w:ascii="Times New Roman" w:hAnsi="Times New Roman" w:cs="Times New Roman"/>
                <w:b/>
                <w:sz w:val="24"/>
                <w:szCs w:val="24"/>
              </w:rPr>
              <w:t>. Marks will be divided equally to Main campus and to all applicable campuses.</w:t>
            </w:r>
          </w:p>
        </w:tc>
      </w:tr>
      <w:tr w:rsidR="009F33A9" w:rsidRPr="00AF6037" w14:paraId="6CBBA30C" w14:textId="77777777" w:rsidTr="00800DD0">
        <w:trPr>
          <w:trHeight w:val="945"/>
        </w:trPr>
        <w:tc>
          <w:tcPr>
            <w:tcW w:w="713" w:type="dxa"/>
            <w:vMerge/>
            <w:vAlign w:val="center"/>
            <w:hideMark/>
          </w:tcPr>
          <w:p w14:paraId="17F1C9B5" w14:textId="77777777" w:rsidR="009F33A9" w:rsidRPr="00AF6037" w:rsidRDefault="009F3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C5BF" w14:textId="77777777" w:rsidR="00C31E81" w:rsidRPr="00C31E81" w:rsidRDefault="009F33A9" w:rsidP="00C31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E81">
              <w:rPr>
                <w:rFonts w:ascii="Times New Roman" w:hAnsi="Times New Roman" w:cs="Times New Roman"/>
                <w:sz w:val="24"/>
                <w:szCs w:val="24"/>
              </w:rPr>
              <w:t>Launching of New PhD Programs and MS/M. Phil &amp; Equivalent Programs after October, 2013</w:t>
            </w:r>
            <w:r w:rsidR="00C31E81" w:rsidRPr="00C3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E81" w:rsidRPr="00C31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(04 marks)</w:t>
            </w:r>
          </w:p>
          <w:p w14:paraId="31D3DE4D" w14:textId="03B2FC11" w:rsidR="009F33A9" w:rsidRPr="00AF6037" w:rsidRDefault="009F3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3F6A2" w14:textId="71A1C9D4" w:rsidR="000463B9" w:rsidRPr="00C45A0A" w:rsidRDefault="009F33A9" w:rsidP="00C45A0A">
            <w:pPr>
              <w:pStyle w:val="ListParagraph"/>
              <w:numPr>
                <w:ilvl w:val="0"/>
                <w:numId w:val="16"/>
              </w:numPr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0A">
              <w:rPr>
                <w:rFonts w:ascii="Times New Roman" w:hAnsi="Times New Roman" w:cs="Times New Roman"/>
                <w:sz w:val="24"/>
                <w:szCs w:val="24"/>
              </w:rPr>
              <w:t>NOC must be obtained for all those programs that have been started</w:t>
            </w:r>
            <w:r w:rsidR="00A75D9A" w:rsidRPr="00C45A0A">
              <w:rPr>
                <w:rFonts w:ascii="Times New Roman" w:hAnsi="Times New Roman" w:cs="Times New Roman"/>
                <w:sz w:val="24"/>
                <w:szCs w:val="24"/>
              </w:rPr>
              <w:t>/ launched</w:t>
            </w:r>
            <w:r w:rsidRPr="00C45A0A">
              <w:rPr>
                <w:rFonts w:ascii="Times New Roman" w:hAnsi="Times New Roman" w:cs="Times New Roman"/>
                <w:sz w:val="24"/>
                <w:szCs w:val="24"/>
              </w:rPr>
              <w:t xml:space="preserve"> after </w:t>
            </w:r>
            <w:r w:rsidR="00C45A0A" w:rsidRPr="00C45A0A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r w:rsidRPr="00C45A0A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</w:p>
          <w:p w14:paraId="3B196358" w14:textId="77777777" w:rsidR="000463B9" w:rsidRPr="00C45A0A" w:rsidRDefault="009F33A9" w:rsidP="00C45A0A">
            <w:pPr>
              <w:pStyle w:val="ListParagraph"/>
              <w:numPr>
                <w:ilvl w:val="0"/>
                <w:numId w:val="16"/>
              </w:numPr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0A">
              <w:rPr>
                <w:rFonts w:ascii="Times New Roman" w:hAnsi="Times New Roman" w:cs="Times New Roman"/>
                <w:sz w:val="24"/>
                <w:szCs w:val="24"/>
              </w:rPr>
              <w:t xml:space="preserve">No program should be started without obtaining NOC. </w:t>
            </w:r>
          </w:p>
          <w:p w14:paraId="5804ED2D" w14:textId="1C575FFC" w:rsidR="009F33A9" w:rsidRPr="00C45A0A" w:rsidRDefault="009F33A9" w:rsidP="00C45A0A">
            <w:pPr>
              <w:pStyle w:val="ListParagraph"/>
              <w:numPr>
                <w:ilvl w:val="0"/>
                <w:numId w:val="16"/>
              </w:numPr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0A">
              <w:rPr>
                <w:rFonts w:ascii="Times New Roman" w:hAnsi="Times New Roman" w:cs="Times New Roman"/>
                <w:sz w:val="24"/>
                <w:szCs w:val="24"/>
              </w:rPr>
              <w:t>The NOC must also be obtained for programs offered in any sub-campus</w:t>
            </w:r>
            <w:r w:rsidR="00C4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0BB8C1" w14:textId="5F0A0975" w:rsidR="00696457" w:rsidRPr="00C45A0A" w:rsidRDefault="00696457" w:rsidP="00C45A0A">
            <w:pPr>
              <w:pStyle w:val="ListParagraph"/>
              <w:numPr>
                <w:ilvl w:val="0"/>
                <w:numId w:val="16"/>
              </w:numPr>
              <w:ind w:left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A0A">
              <w:rPr>
                <w:rFonts w:ascii="Times New Roman" w:hAnsi="Times New Roman" w:cs="Times New Roman"/>
                <w:sz w:val="24"/>
                <w:szCs w:val="24"/>
              </w:rPr>
              <w:t>As per HEC instructions no Affiliated College can offer any MS/M.Phil. &amp; Ph.D. Program</w:t>
            </w:r>
            <w:r w:rsidR="00C45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3A9" w:rsidRPr="00AF6037" w14:paraId="6C973FE5" w14:textId="77777777" w:rsidTr="00800DD0">
        <w:trPr>
          <w:trHeight w:val="630"/>
        </w:trPr>
        <w:tc>
          <w:tcPr>
            <w:tcW w:w="7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E284" w14:textId="77777777" w:rsidR="009F33A9" w:rsidRPr="00AF6037" w:rsidRDefault="009F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D62B" w14:textId="45DACD61" w:rsidR="009F33A9" w:rsidRPr="00AF6037" w:rsidRDefault="009F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 xml:space="preserve">Functioning of QEC Secretariat </w:t>
            </w:r>
            <w:proofErr w:type="gramStart"/>
            <w:r w:rsidR="001122B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122B0" w:rsidRPr="00112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2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="00C31E81" w:rsidRPr="00C31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marks)</w:t>
            </w:r>
            <w:r w:rsidR="00C3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4FEF9" w14:textId="2D18CF78" w:rsidR="00FC7BA3" w:rsidRDefault="009F33A9" w:rsidP="00722D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7B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5.1 </w:t>
            </w:r>
          </w:p>
          <w:p w14:paraId="447BA644" w14:textId="77777777" w:rsidR="0023625E" w:rsidRDefault="000C0CCC" w:rsidP="00334897">
            <w:pPr>
              <w:pStyle w:val="ListParagraph"/>
              <w:numPr>
                <w:ilvl w:val="0"/>
                <w:numId w:val="12"/>
              </w:num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 xml:space="preserve">Total Number of Sanctioned Positions of QEC Secretariat Staff (at least 05 positions i.e. 01 Head of QEC, 03 Officers of QECs (including 01 Data Analyst) and 01 Support Staff: </w:t>
            </w:r>
          </w:p>
          <w:p w14:paraId="6447C885" w14:textId="543B3DBA" w:rsidR="0023625E" w:rsidRDefault="000C0CCC" w:rsidP="0023625E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 xml:space="preserve">Total Number of filled Positions: </w:t>
            </w:r>
          </w:p>
          <w:p w14:paraId="0F5686B8" w14:textId="6E6E8E4F" w:rsidR="00202387" w:rsidRDefault="000C0CCC" w:rsidP="0023625E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>Total Number of Permanent Staff: (</w:t>
            </w:r>
            <w:r w:rsidR="0089504A"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mark</w:t>
            </w: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 xml:space="preserve"> for Head of QEC, 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marks</w:t>
            </w: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 xml:space="preserve"> for officers; 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mark</w:t>
            </w: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 xml:space="preserve"> for support staff) </w:t>
            </w:r>
          </w:p>
          <w:p w14:paraId="33D8213D" w14:textId="467D906C" w:rsidR="000C0CCC" w:rsidRDefault="000C0CCC" w:rsidP="0023625E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 xml:space="preserve">Total Number of Additional Charged staff: in case of additional charge, 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0.25 marks</w:t>
            </w: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 xml:space="preserve"> will be awarded against 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mark</w:t>
            </w:r>
            <w:r w:rsidRPr="000C0CCC">
              <w:rPr>
                <w:rFonts w:ascii="Times New Roman" w:hAnsi="Times New Roman" w:cs="Times New Roman"/>
                <w:sz w:val="24"/>
                <w:szCs w:val="24"/>
              </w:rPr>
              <w:t xml:space="preserve"> of respective post</w:t>
            </w:r>
          </w:p>
          <w:p w14:paraId="59D190EB" w14:textId="2CFCE718" w:rsidR="000C0CCC" w:rsidRPr="00035F8C" w:rsidRDefault="00035F8C" w:rsidP="000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5F8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7374C51E" w14:textId="7FBBFE0E" w:rsidR="00243DAD" w:rsidRDefault="00243DAD" w:rsidP="00334897">
            <w:pPr>
              <w:pStyle w:val="ListParagraph"/>
              <w:numPr>
                <w:ilvl w:val="0"/>
                <w:numId w:val="12"/>
              </w:num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AD">
              <w:rPr>
                <w:rFonts w:ascii="Times New Roman" w:hAnsi="Times New Roman" w:cs="Times New Roman"/>
                <w:sz w:val="24"/>
                <w:szCs w:val="24"/>
              </w:rPr>
              <w:t xml:space="preserve">Budget Allocation for QEC Secretariat </w:t>
            </w:r>
          </w:p>
          <w:p w14:paraId="61935989" w14:textId="2754E0C2" w:rsidR="00243DAD" w:rsidRDefault="00243DAD" w:rsidP="00243DAD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AD">
              <w:rPr>
                <w:rFonts w:ascii="Times New Roman" w:hAnsi="Times New Roman" w:cs="Times New Roman"/>
                <w:sz w:val="24"/>
                <w:szCs w:val="24"/>
              </w:rPr>
              <w:t xml:space="preserve">Involvement of QEC secretariat in Budget preparation 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 w:rsidR="00192627"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4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23C166" w14:textId="0D1EBD5C" w:rsidR="00243DAD" w:rsidRDefault="00243DAD" w:rsidP="00243DAD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AD">
              <w:rPr>
                <w:rFonts w:ascii="Times New Roman" w:hAnsi="Times New Roman" w:cs="Times New Roman"/>
                <w:sz w:val="24"/>
                <w:szCs w:val="24"/>
              </w:rPr>
              <w:t xml:space="preserve">Budget released for QEC (mention amount) </w:t>
            </w:r>
          </w:p>
          <w:p w14:paraId="53E4EA05" w14:textId="21E6A4D6" w:rsidR="00654006" w:rsidRDefault="00243DAD" w:rsidP="00243DAD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AD">
              <w:rPr>
                <w:rFonts w:ascii="Times New Roman" w:hAnsi="Times New Roman" w:cs="Times New Roman"/>
                <w:sz w:val="24"/>
                <w:szCs w:val="24"/>
              </w:rPr>
              <w:t xml:space="preserve">Budget consumed by QEC (mention amount) 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</w:t>
            </w:r>
            <w:r w:rsidR="0089504A"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8950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4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1655DD" w14:textId="5C8E2316" w:rsidR="00243DAD" w:rsidRDefault="00243DAD" w:rsidP="00654006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DAD">
              <w:rPr>
                <w:rFonts w:ascii="Times New Roman" w:hAnsi="Times New Roman" w:cs="Times New Roman"/>
                <w:sz w:val="24"/>
                <w:szCs w:val="24"/>
              </w:rPr>
              <w:t xml:space="preserve">{(total budget consumed/total budget </w:t>
            </w:r>
            <w:proofErr w:type="gramStart"/>
            <w:r w:rsidRPr="00243DAD">
              <w:rPr>
                <w:rFonts w:ascii="Times New Roman" w:hAnsi="Times New Roman" w:cs="Times New Roman"/>
                <w:sz w:val="24"/>
                <w:szCs w:val="24"/>
              </w:rPr>
              <w:t>released)*</w:t>
            </w:r>
            <w:proofErr w:type="gramEnd"/>
            <w:r w:rsidRPr="00243DAD">
              <w:rPr>
                <w:rFonts w:ascii="Times New Roman" w:hAnsi="Times New Roman" w:cs="Times New Roman"/>
                <w:sz w:val="24"/>
                <w:szCs w:val="24"/>
              </w:rPr>
              <w:t xml:space="preserve">2} </w:t>
            </w:r>
          </w:p>
          <w:p w14:paraId="67E2FDDE" w14:textId="109B2770" w:rsidR="00654006" w:rsidRDefault="00EC6915" w:rsidP="00EC69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C691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5.3</w:t>
            </w:r>
          </w:p>
          <w:p w14:paraId="3D8B5E32" w14:textId="6E8BD4AB" w:rsidR="00BC0C12" w:rsidRDefault="00BC0C12" w:rsidP="00334897">
            <w:pPr>
              <w:pStyle w:val="ListParagraph"/>
              <w:numPr>
                <w:ilvl w:val="0"/>
                <w:numId w:val="12"/>
              </w:num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C12">
              <w:rPr>
                <w:rFonts w:ascii="Times New Roman" w:hAnsi="Times New Roman" w:cs="Times New Roman"/>
                <w:sz w:val="24"/>
                <w:szCs w:val="24"/>
              </w:rPr>
              <w:t>Infrastructure and Facilities</w:t>
            </w:r>
          </w:p>
          <w:p w14:paraId="2B1DD314" w14:textId="7FCBFF64" w:rsidR="00EC6915" w:rsidRDefault="00EC6915" w:rsidP="00EC6915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5">
              <w:rPr>
                <w:rFonts w:ascii="Times New Roman" w:hAnsi="Times New Roman" w:cs="Times New Roman"/>
                <w:sz w:val="24"/>
                <w:szCs w:val="24"/>
              </w:rPr>
              <w:t>Establishment of QEC Secretariat (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  <w:r w:rsidR="0089504A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</w:t>
            </w:r>
            <w:r w:rsidR="00B20106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C69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1E7A3F" w14:textId="6FFE7496" w:rsidR="00EC6915" w:rsidRDefault="00EC6915" w:rsidP="00EC6915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15">
              <w:rPr>
                <w:rFonts w:ascii="Times New Roman" w:hAnsi="Times New Roman" w:cs="Times New Roman"/>
                <w:sz w:val="24"/>
                <w:szCs w:val="24"/>
              </w:rPr>
              <w:t>Availability of Adequate Facilities (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  <w:r w:rsidR="00B20106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EC69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40DDA7" w14:textId="6324EEE1" w:rsidR="00913DAF" w:rsidRPr="00913DAF" w:rsidRDefault="00913DAF" w:rsidP="00913D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13DA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5.4</w:t>
            </w:r>
          </w:p>
          <w:p w14:paraId="1FA8F267" w14:textId="3AFA57AE" w:rsidR="008B1D40" w:rsidRDefault="008B1D40" w:rsidP="00334897">
            <w:pPr>
              <w:pStyle w:val="ListParagraph"/>
              <w:numPr>
                <w:ilvl w:val="0"/>
                <w:numId w:val="12"/>
              </w:num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D40">
              <w:rPr>
                <w:rFonts w:ascii="Times New Roman" w:hAnsi="Times New Roman" w:cs="Times New Roman"/>
                <w:sz w:val="24"/>
                <w:szCs w:val="24"/>
              </w:rPr>
              <w:t xml:space="preserve">Memberships of International QA bodies obtained by QEC 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(02</w:t>
            </w:r>
            <w:r w:rsidR="00B20106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D7D018F" w14:textId="3B3B19B5" w:rsidR="00A75C84" w:rsidRDefault="00A75C84" w:rsidP="00A75C84">
            <w:pPr>
              <w:pStyle w:val="ListParagraph"/>
              <w:ind w:left="3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A75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Note: Marks will be only awarded to International Bodies related to Academic QA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01EDE8A" w14:textId="780D07ED" w:rsidR="00A75C84" w:rsidRPr="00A75C84" w:rsidRDefault="00A75C84" w:rsidP="00A75C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75C8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5.5</w:t>
            </w:r>
          </w:p>
          <w:p w14:paraId="64754E92" w14:textId="77777777" w:rsidR="00BA4F28" w:rsidRDefault="00BA4F28" w:rsidP="00334897">
            <w:pPr>
              <w:pStyle w:val="ListParagraph"/>
              <w:numPr>
                <w:ilvl w:val="0"/>
                <w:numId w:val="12"/>
              </w:num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Membership of QEC in all statutory bodies </w:t>
            </w:r>
          </w:p>
          <w:p w14:paraId="4F72458F" w14:textId="541FE25B" w:rsidR="00BA4F28" w:rsidRDefault="00BA4F28" w:rsidP="00BA4F2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>Senate/Syndicate/</w:t>
            </w:r>
            <w:proofErr w:type="spellStart"/>
            <w:r w:rsidRPr="00BA4F28">
              <w:rPr>
                <w:rFonts w:ascii="Times New Roman" w:hAnsi="Times New Roman" w:cs="Times New Roman"/>
                <w:sz w:val="24"/>
                <w:szCs w:val="24"/>
              </w:rPr>
              <w:t>BoG</w:t>
            </w:r>
            <w:proofErr w:type="spellEnd"/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 or Equivalent Body: 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20106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20106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B9771B" w14:textId="478BAC6B" w:rsidR="00BA4F28" w:rsidRDefault="00BA4F28" w:rsidP="00BA4F2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Academic Council or Equivalent Body: 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</w:t>
            </w:r>
            <w:r w:rsidR="00B20106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2CAC87" w14:textId="3CF6E040" w:rsidR="00BA4F28" w:rsidRDefault="00BA4F28" w:rsidP="00BA4F2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Board of Advance Studies &amp; Research (BASR) or Equivalent Body: 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</w:t>
            </w:r>
            <w:r w:rsidR="00B20106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537C0F" w14:textId="1351BD3E" w:rsidR="00BA4F28" w:rsidRDefault="00BA4F28" w:rsidP="00BA4F2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Board of Faculty (BOF) or Equivalent Body: </w:t>
            </w:r>
            <w:r w:rsidR="00B20106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 marks)</w:t>
            </w: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F13BF" w14:textId="1FC330D9" w:rsidR="00BA4F28" w:rsidRDefault="00BA4F28" w:rsidP="00BA4F2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Board of Studies (BOS) or Equivalent Body: </w:t>
            </w:r>
            <w:r w:rsidR="00176872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 marks)</w:t>
            </w:r>
          </w:p>
          <w:p w14:paraId="137297BD" w14:textId="4CD16996" w:rsidR="00BA4F28" w:rsidRDefault="00BA4F28" w:rsidP="00BA4F2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Finance &amp; Planning Committee or Equivalent Body: </w:t>
            </w:r>
            <w:r w:rsidR="00176872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 marks)</w:t>
            </w: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EF43F3" w14:textId="1CD6C814" w:rsidR="00BA4F28" w:rsidRDefault="00BA4F28" w:rsidP="00BA4F2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28">
              <w:rPr>
                <w:rFonts w:ascii="Times New Roman" w:hAnsi="Times New Roman" w:cs="Times New Roman"/>
                <w:sz w:val="24"/>
                <w:szCs w:val="24"/>
              </w:rPr>
              <w:t xml:space="preserve">Selection Board: </w:t>
            </w:r>
            <w:r w:rsidR="00176872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 marks)</w:t>
            </w:r>
          </w:p>
          <w:p w14:paraId="74773A14" w14:textId="75D3946D" w:rsidR="000149E6" w:rsidRDefault="000149E6" w:rsidP="009E12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5.6</w:t>
            </w:r>
          </w:p>
          <w:p w14:paraId="2EC64701" w14:textId="6AA28115" w:rsidR="004843CD" w:rsidRDefault="00421A4D" w:rsidP="00421A4D">
            <w:pPr>
              <w:pStyle w:val="ListParagraph"/>
              <w:numPr>
                <w:ilvl w:val="0"/>
                <w:numId w:val="12"/>
              </w:numPr>
              <w:ind w:hanging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4D">
              <w:rPr>
                <w:rFonts w:ascii="Times New Roman" w:hAnsi="Times New Roman" w:cs="Times New Roman"/>
                <w:sz w:val="24"/>
                <w:szCs w:val="24"/>
              </w:rPr>
              <w:t xml:space="preserve">Awareness seminars/conferences/workshops on QA (within DAI) </w:t>
            </w:r>
            <w:r w:rsidRPr="0017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7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7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76872" w:rsidRPr="0017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17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421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D241E0" w14:textId="69C802E0" w:rsidR="000149E6" w:rsidRPr="00421A4D" w:rsidRDefault="00421A4D" w:rsidP="00421A4D">
            <w:pPr>
              <w:pStyle w:val="ListParagraph"/>
              <w:numPr>
                <w:ilvl w:val="0"/>
                <w:numId w:val="12"/>
              </w:numPr>
              <w:ind w:hanging="7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4D">
              <w:rPr>
                <w:rFonts w:ascii="Times New Roman" w:hAnsi="Times New Roman" w:cs="Times New Roman"/>
                <w:sz w:val="24"/>
                <w:szCs w:val="24"/>
              </w:rPr>
              <w:t xml:space="preserve">Seminar/Conference on Quality Assurance (involving resource person/s from outside the DAI) </w:t>
            </w:r>
            <w:r w:rsidR="00176872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</w:t>
            </w:r>
            <w:r w:rsidR="0017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76872" w:rsidRPr="00B20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mark)</w:t>
            </w:r>
          </w:p>
          <w:p w14:paraId="29770395" w14:textId="688FECAB" w:rsidR="009E1276" w:rsidRPr="009E1276" w:rsidRDefault="009E1276" w:rsidP="009E12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E12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</w:t>
            </w:r>
            <w:r w:rsidR="000149E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  <w:p w14:paraId="602DC8EC" w14:textId="77777777" w:rsidR="00775138" w:rsidRDefault="00775138" w:rsidP="00334897">
            <w:pPr>
              <w:pStyle w:val="ListParagraph"/>
              <w:numPr>
                <w:ilvl w:val="0"/>
                <w:numId w:val="12"/>
              </w:numPr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8">
              <w:rPr>
                <w:rFonts w:ascii="Times New Roman" w:hAnsi="Times New Roman" w:cs="Times New Roman"/>
                <w:sz w:val="24"/>
                <w:szCs w:val="24"/>
              </w:rPr>
              <w:t xml:space="preserve">Contributions and Participations in Academic QA activities: </w:t>
            </w:r>
          </w:p>
          <w:p w14:paraId="311C6604" w14:textId="2F2B38E3" w:rsidR="00775138" w:rsidRDefault="00775138" w:rsidP="0077513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8">
              <w:rPr>
                <w:rFonts w:ascii="Times New Roman" w:hAnsi="Times New Roman" w:cs="Times New Roman"/>
                <w:sz w:val="24"/>
                <w:szCs w:val="24"/>
              </w:rPr>
              <w:t xml:space="preserve">Contributions of QEC at National Level 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3F4C51"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F4C51"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7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EE4D07" w14:textId="4BB4FD55" w:rsidR="001B188B" w:rsidRDefault="00775138" w:rsidP="0077513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Contributions of QEC at International Level 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3F4C51"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F4C51"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7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E1364" w14:textId="079282D5" w:rsidR="001B188B" w:rsidRDefault="00775138" w:rsidP="0077513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8">
              <w:rPr>
                <w:rFonts w:ascii="Times New Roman" w:hAnsi="Times New Roman" w:cs="Times New Roman"/>
                <w:sz w:val="24"/>
                <w:szCs w:val="24"/>
              </w:rPr>
              <w:t xml:space="preserve">Participation of QEC at National Level 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</w:t>
            </w:r>
            <w:r w:rsidR="003F4C51"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75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4CC2D3" w14:textId="102E2805" w:rsidR="001B188B" w:rsidRDefault="00775138" w:rsidP="0077513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138">
              <w:rPr>
                <w:rFonts w:ascii="Times New Roman" w:hAnsi="Times New Roman" w:cs="Times New Roman"/>
                <w:sz w:val="24"/>
                <w:szCs w:val="24"/>
              </w:rPr>
              <w:t xml:space="preserve">Participation of QEC at International Level 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(0.5</w:t>
            </w:r>
            <w:r w:rsidR="003F4C51"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2AB8FA8" w14:textId="77777777" w:rsidR="003F17F1" w:rsidRDefault="003F17F1" w:rsidP="004D67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352F5F7" w14:textId="3DFDF4F7" w:rsidR="004D67F4" w:rsidRPr="004D67F4" w:rsidRDefault="004D67F4" w:rsidP="004D67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D67F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5.8</w:t>
            </w:r>
          </w:p>
          <w:p w14:paraId="64DA9A57" w14:textId="2DAFB35F" w:rsidR="001B188B" w:rsidRDefault="003F17F1" w:rsidP="003F17F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F1">
              <w:rPr>
                <w:rFonts w:ascii="Times New Roman" w:hAnsi="Times New Roman" w:cs="Times New Roman"/>
                <w:sz w:val="24"/>
                <w:szCs w:val="24"/>
              </w:rPr>
              <w:t>Establishment of QEC Setup in Sub-Campuses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(05</w:t>
            </w:r>
            <w:r w:rsidR="003F4C51"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3F4C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0722D18" w14:textId="5456B5F1" w:rsidR="003F17F1" w:rsidRPr="00DC28B6" w:rsidRDefault="00DC28B6" w:rsidP="003F17F1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8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2745FA" w:rsidRPr="00DC28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Note: If a DAI has no sub-campus, these marks will be normalized</w:t>
            </w:r>
            <w:r w:rsidRPr="00DC28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5EC9D5F3" w14:textId="6B56EAD5" w:rsidR="003F17F1" w:rsidRDefault="00DC28B6" w:rsidP="001B18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C28B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5.9</w:t>
            </w:r>
          </w:p>
          <w:p w14:paraId="37AC848D" w14:textId="51F1AD39" w:rsidR="001D6369" w:rsidRDefault="001D6369" w:rsidP="001D636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369">
              <w:rPr>
                <w:rFonts w:ascii="Times New Roman" w:hAnsi="Times New Roman" w:cs="Times New Roman"/>
                <w:sz w:val="24"/>
                <w:szCs w:val="24"/>
              </w:rPr>
              <w:t>5.9.0 Establishment of QEC Setup in affiliated colleges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(05</w:t>
            </w:r>
            <w:r w:rsidR="00A5722D" w:rsidRPr="00A5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marks</w:t>
            </w:r>
            <w:r w:rsidRPr="00A5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7987DF87" w14:textId="652F8852" w:rsidR="00D7110C" w:rsidRPr="00D7110C" w:rsidRDefault="001D6369" w:rsidP="00D7110C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63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(Note: If a DAI has no affiliated college, these marks will be normalized)</w:t>
            </w:r>
          </w:p>
        </w:tc>
      </w:tr>
      <w:tr w:rsidR="009F33A9" w:rsidRPr="00AF6037" w14:paraId="65D69EED" w14:textId="77777777" w:rsidTr="00800DD0">
        <w:trPr>
          <w:trHeight w:val="630"/>
        </w:trPr>
        <w:tc>
          <w:tcPr>
            <w:tcW w:w="7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B1CB8" w14:textId="77777777" w:rsidR="009F33A9" w:rsidRPr="00AF6037" w:rsidRDefault="009F3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814E" w14:textId="2DB325BA" w:rsidR="009F33A9" w:rsidRPr="00AF6037" w:rsidRDefault="009F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37">
              <w:rPr>
                <w:rFonts w:ascii="Times New Roman" w:hAnsi="Times New Roman" w:cs="Times New Roman"/>
                <w:sz w:val="24"/>
                <w:szCs w:val="24"/>
              </w:rPr>
              <w:t>Implementation of HEC(QA) Polices and criteria’s</w:t>
            </w:r>
            <w:r w:rsidR="00C3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E81" w:rsidRPr="00C31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marks)</w:t>
            </w:r>
            <w:r w:rsidR="00C3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68A3" w14:textId="6F1F44F9" w:rsidR="00127FE5" w:rsidRDefault="00127FE5" w:rsidP="00233B2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5">
              <w:rPr>
                <w:rFonts w:ascii="Times New Roman" w:hAnsi="Times New Roman" w:cs="Times New Roman"/>
                <w:sz w:val="24"/>
                <w:szCs w:val="24"/>
              </w:rPr>
              <w:t xml:space="preserve">Plagiarism Policy </w:t>
            </w:r>
            <w:r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030C4"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030C4"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</w:t>
            </w:r>
            <w:r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8095A6F" w14:textId="1DA5F334" w:rsidR="00127FE5" w:rsidRDefault="00127FE5" w:rsidP="00233B2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E5">
              <w:rPr>
                <w:rFonts w:ascii="Times New Roman" w:hAnsi="Times New Roman" w:cs="Times New Roman"/>
                <w:sz w:val="24"/>
                <w:szCs w:val="24"/>
              </w:rPr>
              <w:t xml:space="preserve">Faculty Appointment Criteria </w:t>
            </w:r>
            <w:r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mark)</w:t>
            </w:r>
          </w:p>
          <w:p w14:paraId="66B26B98" w14:textId="026FD75A" w:rsidR="00233B2A" w:rsidRPr="00233B2A" w:rsidRDefault="00127FE5" w:rsidP="00233B2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Graduate Education Policy </w:t>
            </w:r>
            <w:r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030C4"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mark)</w:t>
            </w:r>
          </w:p>
        </w:tc>
      </w:tr>
    </w:tbl>
    <w:p w14:paraId="759BDBD6" w14:textId="77777777" w:rsidR="00147AC2" w:rsidRDefault="00147AC2" w:rsidP="00147AC2">
      <w:pPr>
        <w:ind w:left="180"/>
        <w:rPr>
          <w:rFonts w:ascii="Times New Roman" w:hAnsi="Times New Roman" w:cs="Times New Roman"/>
          <w:sz w:val="24"/>
          <w:szCs w:val="24"/>
        </w:rPr>
      </w:pPr>
    </w:p>
    <w:p w14:paraId="046F7301" w14:textId="4A8598AC" w:rsidR="009E3B3D" w:rsidRDefault="009E3B3D" w:rsidP="00147AC2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Kindly Note that: </w:t>
      </w:r>
    </w:p>
    <w:p w14:paraId="27CAF6DD" w14:textId="77777777" w:rsidR="009E3B3D" w:rsidRDefault="009E3B3D" w:rsidP="00147AC2">
      <w:pPr>
        <w:ind w:left="180"/>
        <w:rPr>
          <w:rFonts w:ascii="Times New Roman" w:hAnsi="Times New Roman" w:cs="Times New Roman"/>
          <w:b/>
          <w:i/>
          <w:sz w:val="24"/>
          <w:szCs w:val="24"/>
        </w:rPr>
      </w:pPr>
    </w:p>
    <w:p w14:paraId="0480A1DC" w14:textId="03CADA43" w:rsidR="009E3B3D" w:rsidRPr="009E3B3D" w:rsidRDefault="009E3B3D" w:rsidP="009E3B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E3B3D">
        <w:rPr>
          <w:rFonts w:ascii="Times New Roman" w:hAnsi="Times New Roman" w:cs="Times New Roman"/>
          <w:b/>
          <w:iCs/>
          <w:sz w:val="24"/>
          <w:szCs w:val="24"/>
        </w:rPr>
        <w:t xml:space="preserve">The results of these targets will be reflected in the QEC performance letter </w:t>
      </w:r>
      <w:r w:rsidR="00C31E81">
        <w:rPr>
          <w:rFonts w:ascii="Times New Roman" w:hAnsi="Times New Roman" w:cs="Times New Roman"/>
          <w:b/>
          <w:iCs/>
          <w:sz w:val="24"/>
          <w:szCs w:val="24"/>
        </w:rPr>
        <w:t xml:space="preserve">to be </w:t>
      </w:r>
      <w:r w:rsidRPr="009E3B3D">
        <w:rPr>
          <w:rFonts w:ascii="Times New Roman" w:hAnsi="Times New Roman" w:cs="Times New Roman"/>
          <w:b/>
          <w:iCs/>
          <w:sz w:val="24"/>
          <w:szCs w:val="24"/>
        </w:rPr>
        <w:t xml:space="preserve">sent to the Heads of DAIs. Failure to submit the </w:t>
      </w:r>
      <w:r w:rsidR="00742D69">
        <w:rPr>
          <w:rFonts w:ascii="Times New Roman" w:hAnsi="Times New Roman" w:cs="Times New Roman"/>
          <w:b/>
          <w:iCs/>
          <w:sz w:val="24"/>
          <w:szCs w:val="24"/>
        </w:rPr>
        <w:t>YPR for Assessment Period 202</w:t>
      </w:r>
      <w:r w:rsidR="00753E0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742D69">
        <w:rPr>
          <w:rFonts w:ascii="Times New Roman" w:hAnsi="Times New Roman" w:cs="Times New Roman"/>
          <w:b/>
          <w:iCs/>
          <w:sz w:val="24"/>
          <w:szCs w:val="24"/>
        </w:rPr>
        <w:t>-2</w:t>
      </w:r>
      <w:r w:rsidR="00753E01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9E3B3D">
        <w:rPr>
          <w:rFonts w:ascii="Times New Roman" w:hAnsi="Times New Roman" w:cs="Times New Roman"/>
          <w:b/>
          <w:iCs/>
          <w:sz w:val="24"/>
          <w:szCs w:val="24"/>
        </w:rPr>
        <w:t xml:space="preserve"> will be reported to all relevant forums’</w:t>
      </w:r>
    </w:p>
    <w:p w14:paraId="4EBD2FD1" w14:textId="0076D9DA" w:rsidR="00A73EFF" w:rsidRPr="00A73EFF" w:rsidRDefault="00A73EFF" w:rsidP="009E3B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3EFF">
        <w:rPr>
          <w:rFonts w:ascii="Times New Roman" w:hAnsi="Times New Roman" w:cs="Times New Roman"/>
          <w:b/>
          <w:bCs/>
          <w:sz w:val="24"/>
          <w:szCs w:val="24"/>
        </w:rPr>
        <w:t>The adoption and implementation of QA and all other HEC policies are mandatory. A certificate, duly countersigned by the head of the respective DAI, must be submitted along with the response to the document</w:t>
      </w:r>
    </w:p>
    <w:p w14:paraId="6F473657" w14:textId="4A649DD5" w:rsidR="00A73EFF" w:rsidRPr="00A73EFF" w:rsidRDefault="00A73EFF" w:rsidP="00A73EFF">
      <w:pPr>
        <w:pStyle w:val="NormalWeb"/>
        <w:numPr>
          <w:ilvl w:val="0"/>
          <w:numId w:val="28"/>
        </w:numPr>
      </w:pPr>
      <w:r w:rsidRPr="00A73EFF">
        <w:t>Frequency of statutory body meetings in 202</w:t>
      </w:r>
      <w:r w:rsidR="00304314">
        <w:t>5</w:t>
      </w:r>
      <w:r w:rsidRPr="00A73EFF">
        <w:t>-2</w:t>
      </w:r>
      <w:r w:rsidR="00304314">
        <w:t>6</w:t>
      </w:r>
      <w:r w:rsidRPr="00A73EFF">
        <w:t xml:space="preserve"> (provide a list of meetings held by each statutory body).</w:t>
      </w:r>
    </w:p>
    <w:p w14:paraId="19FCA929" w14:textId="559D9592" w:rsidR="00A73EFF" w:rsidRPr="00A73EFF" w:rsidRDefault="00A73EFF" w:rsidP="00A73EFF">
      <w:pPr>
        <w:pStyle w:val="NormalWeb"/>
        <w:numPr>
          <w:ilvl w:val="0"/>
          <w:numId w:val="28"/>
        </w:numPr>
      </w:pPr>
      <w:r w:rsidRPr="00A73EFF">
        <w:t xml:space="preserve">Number of curricula </w:t>
      </w:r>
      <w:r w:rsidRPr="00A73EFF">
        <w:rPr>
          <w:b/>
          <w:bCs/>
        </w:rPr>
        <w:t>reviewed</w:t>
      </w:r>
      <w:r w:rsidRPr="00A73EFF">
        <w:t xml:space="preserve"> in 202</w:t>
      </w:r>
      <w:r w:rsidR="00304314">
        <w:t>5</w:t>
      </w:r>
      <w:r w:rsidRPr="00A73EFF">
        <w:t>-2</w:t>
      </w:r>
      <w:r w:rsidR="00304314">
        <w:t>6</w:t>
      </w:r>
      <w:r w:rsidRPr="00A73EFF">
        <w:t xml:space="preserve"> (provide evidence demonstrating that the results of the Student Course Evaluation Survey and Teacher Course Evaluation Survey were considered during the review).</w:t>
      </w:r>
    </w:p>
    <w:p w14:paraId="0CF23F9F" w14:textId="7421B6A9" w:rsidR="00A73EFF" w:rsidRPr="00A73EFF" w:rsidRDefault="00A73EFF" w:rsidP="00A73EFF">
      <w:pPr>
        <w:pStyle w:val="NormalWeb"/>
        <w:numPr>
          <w:ilvl w:val="0"/>
          <w:numId w:val="28"/>
        </w:numPr>
      </w:pPr>
      <w:r w:rsidRPr="00A73EFF">
        <w:t xml:space="preserve">Number of curricula </w:t>
      </w:r>
      <w:r w:rsidRPr="00A73EFF">
        <w:rPr>
          <w:b/>
          <w:bCs/>
        </w:rPr>
        <w:t>revised</w:t>
      </w:r>
      <w:r w:rsidRPr="00A73EFF">
        <w:t xml:space="preserve"> in 202</w:t>
      </w:r>
      <w:r w:rsidR="00304314">
        <w:t>5</w:t>
      </w:r>
      <w:r w:rsidRPr="00A73EFF">
        <w:t>-2</w:t>
      </w:r>
      <w:r w:rsidR="00304314">
        <w:t>6</w:t>
      </w:r>
      <w:r w:rsidRPr="00A73EFF">
        <w:t xml:space="preserve"> (provide evidence demonstrating that the results of the Student Course Evaluation Survey and Teacher Course Evaluation Survey were considered during the revision).</w:t>
      </w:r>
    </w:p>
    <w:p w14:paraId="447F734E" w14:textId="7510B425" w:rsidR="00A73EFF" w:rsidRPr="00A73EFF" w:rsidRDefault="00A73EFF" w:rsidP="00A73EFF">
      <w:pPr>
        <w:pStyle w:val="NormalWeb"/>
        <w:numPr>
          <w:ilvl w:val="0"/>
          <w:numId w:val="28"/>
        </w:numPr>
      </w:pPr>
      <w:r w:rsidRPr="00A73EFF">
        <w:t>QEC’s involvement in any international rankings in 202</w:t>
      </w:r>
      <w:r w:rsidR="00304314">
        <w:t>5</w:t>
      </w:r>
      <w:r w:rsidRPr="00A73EFF">
        <w:t>-2</w:t>
      </w:r>
      <w:r w:rsidR="00304314">
        <w:t>6</w:t>
      </w:r>
      <w:r w:rsidRPr="00A73EFF">
        <w:t xml:space="preserve"> and the outcomes of those rankings (where applicable)</w:t>
      </w:r>
    </w:p>
    <w:p w14:paraId="2441FC81" w14:textId="0FE56B04" w:rsidR="000463B9" w:rsidRPr="009E3B3D" w:rsidRDefault="000463B9" w:rsidP="00A73EFF">
      <w:pPr>
        <w:pStyle w:val="ListParagraph"/>
        <w:ind w:left="900"/>
        <w:rPr>
          <w:rFonts w:ascii="Times New Roman" w:hAnsi="Times New Roman" w:cs="Times New Roman"/>
          <w:b/>
          <w:i/>
          <w:sz w:val="24"/>
          <w:szCs w:val="24"/>
        </w:rPr>
      </w:pPr>
    </w:p>
    <w:p w14:paraId="1280B41D" w14:textId="77777777" w:rsidR="00147AC2" w:rsidRPr="00147AC2" w:rsidRDefault="00147AC2" w:rsidP="00147AC2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sectPr w:rsidR="00147AC2" w:rsidRPr="00147AC2" w:rsidSect="004C2874">
      <w:headerReference w:type="default" r:id="rId8"/>
      <w:pgSz w:w="12240" w:h="15840"/>
      <w:pgMar w:top="1980" w:right="450" w:bottom="1080" w:left="63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41A9" w14:textId="77777777" w:rsidR="000605F6" w:rsidRDefault="000605F6" w:rsidP="004C2874">
      <w:r>
        <w:separator/>
      </w:r>
    </w:p>
  </w:endnote>
  <w:endnote w:type="continuationSeparator" w:id="0">
    <w:p w14:paraId="1CFD34B2" w14:textId="77777777" w:rsidR="000605F6" w:rsidRDefault="000605F6" w:rsidP="004C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7412" w14:textId="77777777" w:rsidR="000605F6" w:rsidRDefault="000605F6" w:rsidP="004C2874">
      <w:r>
        <w:separator/>
      </w:r>
    </w:p>
  </w:footnote>
  <w:footnote w:type="continuationSeparator" w:id="0">
    <w:p w14:paraId="54E8C326" w14:textId="77777777" w:rsidR="000605F6" w:rsidRDefault="000605F6" w:rsidP="004C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D4E2" w14:textId="77777777" w:rsidR="004C2874" w:rsidRPr="00DC2B04" w:rsidRDefault="000605F6" w:rsidP="004C287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object w:dxaOrig="1440" w:dyaOrig="1440" w14:anchorId="2C649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0.25pt;margin-top:-12pt;width:68.25pt;height:66pt;z-index:-251658752" o:preferrelative="f" wrapcoords="10800 225 9257 450 3086 3375 1800 4275 257 6525 0 11025 1029 14625 1543 19350 5143 21150 7200 21150 14914 21150 16714 21150 20571 19125 20314 14625 21343 11025 21343 6525 19543 4275 12343 225 10800 225">
          <v:imagedata r:id="rId1" o:title=""/>
          <o:lock v:ext="edit" aspectratio="f"/>
          <w10:wrap type="tight"/>
        </v:shape>
        <o:OLEObject Type="Embed" ProgID="CorelDRAW.Graphic.11" ShapeID="_x0000_s2049" DrawAspect="Content" ObjectID="_1818249270" r:id="rId2"/>
      </w:object>
    </w:r>
    <w:r w:rsidR="004C2874" w:rsidRPr="00DC2B04">
      <w:rPr>
        <w:rFonts w:ascii="Times New Roman" w:hAnsi="Times New Roman" w:cs="Times New Roman"/>
        <w:sz w:val="24"/>
        <w:szCs w:val="24"/>
      </w:rPr>
      <w:t>HIGHER EDUCATION COMMISSION</w:t>
    </w:r>
  </w:p>
  <w:p w14:paraId="7CF1CF0B" w14:textId="77777777" w:rsidR="004C2874" w:rsidRPr="00DC2B04" w:rsidRDefault="004C2874" w:rsidP="004C287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C2B04">
      <w:rPr>
        <w:rFonts w:ascii="Times New Roman" w:hAnsi="Times New Roman" w:cs="Times New Roman"/>
        <w:sz w:val="24"/>
        <w:szCs w:val="24"/>
      </w:rPr>
      <w:t>QUALITY ASSURANCE AGENCY</w:t>
    </w:r>
  </w:p>
  <w:p w14:paraId="63A0DD64" w14:textId="77777777" w:rsidR="004C2874" w:rsidRPr="00DC2B04" w:rsidRDefault="004C2874" w:rsidP="004C2874">
    <w:pPr>
      <w:pStyle w:val="Header"/>
      <w:rPr>
        <w:rFonts w:ascii="Times New Roman" w:hAnsi="Times New Roman" w:cs="Times New Roman"/>
        <w:sz w:val="24"/>
        <w:szCs w:val="24"/>
      </w:rPr>
    </w:pPr>
  </w:p>
  <w:p w14:paraId="2D5A4409" w14:textId="7C348BDE" w:rsidR="004C2874" w:rsidRDefault="004C2874" w:rsidP="004C2874">
    <w:pPr>
      <w:ind w:left="-180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AF6037">
      <w:rPr>
        <w:rFonts w:ascii="Times New Roman" w:hAnsi="Times New Roman" w:cs="Times New Roman"/>
        <w:b/>
        <w:sz w:val="28"/>
        <w:szCs w:val="28"/>
        <w:u w:val="single"/>
      </w:rPr>
      <w:t>Targets for QECs</w:t>
    </w:r>
    <w:r>
      <w:rPr>
        <w:rFonts w:ascii="Times New Roman" w:hAnsi="Times New Roman" w:cs="Times New Roman"/>
        <w:b/>
        <w:sz w:val="28"/>
        <w:szCs w:val="28"/>
        <w:u w:val="single"/>
      </w:rPr>
      <w:t xml:space="preserve"> for A</w:t>
    </w:r>
    <w:r w:rsidRPr="00AF6037">
      <w:rPr>
        <w:rFonts w:ascii="Times New Roman" w:hAnsi="Times New Roman" w:cs="Times New Roman"/>
        <w:b/>
        <w:sz w:val="28"/>
        <w:szCs w:val="28"/>
        <w:u w:val="single"/>
      </w:rPr>
      <w:t xml:space="preserve">ssessment </w:t>
    </w:r>
    <w:r w:rsidR="00C87F33">
      <w:rPr>
        <w:rFonts w:ascii="Times New Roman" w:hAnsi="Times New Roman" w:cs="Times New Roman"/>
        <w:b/>
        <w:sz w:val="28"/>
        <w:szCs w:val="28"/>
        <w:u w:val="single"/>
      </w:rPr>
      <w:t>Y</w:t>
    </w:r>
    <w:r w:rsidRPr="00AF6037">
      <w:rPr>
        <w:rFonts w:ascii="Times New Roman" w:hAnsi="Times New Roman" w:cs="Times New Roman"/>
        <w:b/>
        <w:sz w:val="28"/>
        <w:szCs w:val="28"/>
        <w:u w:val="single"/>
      </w:rPr>
      <w:t xml:space="preserve">ear </w:t>
    </w:r>
    <w:r>
      <w:rPr>
        <w:rFonts w:ascii="Times New Roman" w:hAnsi="Times New Roman" w:cs="Times New Roman"/>
        <w:b/>
        <w:sz w:val="28"/>
        <w:szCs w:val="28"/>
        <w:u w:val="single"/>
      </w:rPr>
      <w:t>202</w:t>
    </w:r>
    <w:r w:rsidR="00570222">
      <w:rPr>
        <w:rFonts w:ascii="Times New Roman" w:hAnsi="Times New Roman" w:cs="Times New Roman"/>
        <w:b/>
        <w:sz w:val="28"/>
        <w:szCs w:val="28"/>
        <w:u w:val="single"/>
      </w:rPr>
      <w:t>5</w:t>
    </w:r>
    <w:r>
      <w:rPr>
        <w:rFonts w:ascii="Times New Roman" w:hAnsi="Times New Roman" w:cs="Times New Roman"/>
        <w:b/>
        <w:sz w:val="28"/>
        <w:szCs w:val="28"/>
        <w:u w:val="single"/>
      </w:rPr>
      <w:t>-2</w:t>
    </w:r>
    <w:r w:rsidR="00570222">
      <w:rPr>
        <w:rFonts w:ascii="Times New Roman" w:hAnsi="Times New Roman" w:cs="Times New Roman"/>
        <w:b/>
        <w:sz w:val="28"/>
        <w:szCs w:val="28"/>
        <w:u w:val="single"/>
      </w:rPr>
      <w:t>6</w:t>
    </w:r>
    <w:r w:rsidRPr="00AF6037">
      <w:rPr>
        <w:rFonts w:ascii="Times New Roman" w:hAnsi="Times New Roman" w:cs="Times New Roman"/>
        <w:b/>
        <w:sz w:val="28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9CC"/>
    <w:multiLevelType w:val="hybridMultilevel"/>
    <w:tmpl w:val="0A10720A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02744775"/>
    <w:multiLevelType w:val="multilevel"/>
    <w:tmpl w:val="3E7EF460"/>
    <w:lvl w:ilvl="0">
      <w:start w:val="1"/>
      <w:numFmt w:val="decimal"/>
      <w:lvlText w:val="%1."/>
      <w:lvlJc w:val="left"/>
      <w:pPr>
        <w:tabs>
          <w:tab w:val="num" w:pos="-1350"/>
        </w:tabs>
        <w:ind w:left="-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-630"/>
        </w:tabs>
        <w:ind w:left="-630" w:hanging="360"/>
      </w:pPr>
    </w:lvl>
    <w:lvl w:ilvl="2" w:tentative="1">
      <w:start w:val="1"/>
      <w:numFmt w:val="decimal"/>
      <w:lvlText w:val="%3."/>
      <w:lvlJc w:val="left"/>
      <w:pPr>
        <w:tabs>
          <w:tab w:val="num" w:pos="90"/>
        </w:tabs>
        <w:ind w:left="90" w:hanging="360"/>
      </w:pPr>
    </w:lvl>
    <w:lvl w:ilvl="3" w:tentative="1">
      <w:start w:val="1"/>
      <w:numFmt w:val="decimal"/>
      <w:lvlText w:val="%4."/>
      <w:lvlJc w:val="left"/>
      <w:pPr>
        <w:tabs>
          <w:tab w:val="num" w:pos="810"/>
        </w:tabs>
        <w:ind w:left="810" w:hanging="360"/>
      </w:pPr>
    </w:lvl>
    <w:lvl w:ilvl="4" w:tentative="1">
      <w:start w:val="1"/>
      <w:numFmt w:val="decimal"/>
      <w:lvlText w:val="%5."/>
      <w:lvlJc w:val="left"/>
      <w:pPr>
        <w:tabs>
          <w:tab w:val="num" w:pos="1530"/>
        </w:tabs>
        <w:ind w:left="1530" w:hanging="360"/>
      </w:pPr>
    </w:lvl>
    <w:lvl w:ilvl="5" w:tentative="1">
      <w:start w:val="1"/>
      <w:numFmt w:val="decimal"/>
      <w:lvlText w:val="%6."/>
      <w:lvlJc w:val="left"/>
      <w:pPr>
        <w:tabs>
          <w:tab w:val="num" w:pos="2250"/>
        </w:tabs>
        <w:ind w:left="2250" w:hanging="360"/>
      </w:pPr>
    </w:lvl>
    <w:lvl w:ilvl="6" w:tentative="1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</w:lvl>
    <w:lvl w:ilvl="7" w:tentative="1">
      <w:start w:val="1"/>
      <w:numFmt w:val="decimal"/>
      <w:lvlText w:val="%8."/>
      <w:lvlJc w:val="left"/>
      <w:pPr>
        <w:tabs>
          <w:tab w:val="num" w:pos="3690"/>
        </w:tabs>
        <w:ind w:left="3690" w:hanging="360"/>
      </w:pPr>
    </w:lvl>
    <w:lvl w:ilvl="8" w:tentative="1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</w:lvl>
  </w:abstractNum>
  <w:abstractNum w:abstractNumId="2" w15:restartNumberingAfterBreak="0">
    <w:nsid w:val="07531B27"/>
    <w:multiLevelType w:val="hybridMultilevel"/>
    <w:tmpl w:val="B44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13556"/>
    <w:multiLevelType w:val="hybridMultilevel"/>
    <w:tmpl w:val="8E4C611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BB42455"/>
    <w:multiLevelType w:val="hybridMultilevel"/>
    <w:tmpl w:val="21CC119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125730B"/>
    <w:multiLevelType w:val="hybridMultilevel"/>
    <w:tmpl w:val="708E6D4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3402DE9"/>
    <w:multiLevelType w:val="hybridMultilevel"/>
    <w:tmpl w:val="E4EE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E58E3"/>
    <w:multiLevelType w:val="hybridMultilevel"/>
    <w:tmpl w:val="8368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C4F53"/>
    <w:multiLevelType w:val="hybridMultilevel"/>
    <w:tmpl w:val="D27E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97EFC"/>
    <w:multiLevelType w:val="hybridMultilevel"/>
    <w:tmpl w:val="A03A5A1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1DC53343"/>
    <w:multiLevelType w:val="hybridMultilevel"/>
    <w:tmpl w:val="8180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13AC3"/>
    <w:multiLevelType w:val="hybridMultilevel"/>
    <w:tmpl w:val="35EE37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2F058D5"/>
    <w:multiLevelType w:val="hybridMultilevel"/>
    <w:tmpl w:val="2ACC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7024C"/>
    <w:multiLevelType w:val="hybridMultilevel"/>
    <w:tmpl w:val="74A2ECF4"/>
    <w:lvl w:ilvl="0" w:tplc="DC204CC4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630669E"/>
    <w:multiLevelType w:val="hybridMultilevel"/>
    <w:tmpl w:val="1F6A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FD9"/>
    <w:multiLevelType w:val="hybridMultilevel"/>
    <w:tmpl w:val="892A78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A014E3"/>
    <w:multiLevelType w:val="hybridMultilevel"/>
    <w:tmpl w:val="E334D1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39465E"/>
    <w:multiLevelType w:val="hybridMultilevel"/>
    <w:tmpl w:val="012A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614CF"/>
    <w:multiLevelType w:val="hybridMultilevel"/>
    <w:tmpl w:val="760C3A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B4371E6"/>
    <w:multiLevelType w:val="hybridMultilevel"/>
    <w:tmpl w:val="C100CACE"/>
    <w:lvl w:ilvl="0" w:tplc="BA864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F1CC4"/>
    <w:multiLevelType w:val="hybridMultilevel"/>
    <w:tmpl w:val="936C19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6E1E6D"/>
    <w:multiLevelType w:val="hybridMultilevel"/>
    <w:tmpl w:val="F9C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C370B"/>
    <w:multiLevelType w:val="hybridMultilevel"/>
    <w:tmpl w:val="DFD0DE4E"/>
    <w:lvl w:ilvl="0" w:tplc="929E1D56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71C55D9B"/>
    <w:multiLevelType w:val="hybridMultilevel"/>
    <w:tmpl w:val="FA04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34ABC"/>
    <w:multiLevelType w:val="hybridMultilevel"/>
    <w:tmpl w:val="870A0CA4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73280568"/>
    <w:multiLevelType w:val="hybridMultilevel"/>
    <w:tmpl w:val="32D2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656F3"/>
    <w:multiLevelType w:val="hybridMultilevel"/>
    <w:tmpl w:val="CE2E6F12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8B00FC"/>
    <w:multiLevelType w:val="hybridMultilevel"/>
    <w:tmpl w:val="DA58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503B1"/>
    <w:multiLevelType w:val="hybridMultilevel"/>
    <w:tmpl w:val="4690815A"/>
    <w:lvl w:ilvl="0" w:tplc="856AC66A">
      <w:start w:val="1"/>
      <w:numFmt w:val="lowerRoman"/>
      <w:lvlText w:val="%1."/>
      <w:lvlJc w:val="left"/>
      <w:pPr>
        <w:ind w:left="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0" w:hanging="360"/>
      </w:pPr>
    </w:lvl>
    <w:lvl w:ilvl="2" w:tplc="0409001B" w:tentative="1">
      <w:start w:val="1"/>
      <w:numFmt w:val="lowerRoman"/>
      <w:lvlText w:val="%3."/>
      <w:lvlJc w:val="right"/>
      <w:pPr>
        <w:ind w:left="1780" w:hanging="180"/>
      </w:pPr>
    </w:lvl>
    <w:lvl w:ilvl="3" w:tplc="0409000F" w:tentative="1">
      <w:start w:val="1"/>
      <w:numFmt w:val="decimal"/>
      <w:lvlText w:val="%4."/>
      <w:lvlJc w:val="left"/>
      <w:pPr>
        <w:ind w:left="2500" w:hanging="360"/>
      </w:pPr>
    </w:lvl>
    <w:lvl w:ilvl="4" w:tplc="04090019" w:tentative="1">
      <w:start w:val="1"/>
      <w:numFmt w:val="lowerLetter"/>
      <w:lvlText w:val="%5."/>
      <w:lvlJc w:val="left"/>
      <w:pPr>
        <w:ind w:left="3220" w:hanging="360"/>
      </w:pPr>
    </w:lvl>
    <w:lvl w:ilvl="5" w:tplc="0409001B" w:tentative="1">
      <w:start w:val="1"/>
      <w:numFmt w:val="lowerRoman"/>
      <w:lvlText w:val="%6."/>
      <w:lvlJc w:val="right"/>
      <w:pPr>
        <w:ind w:left="3940" w:hanging="180"/>
      </w:pPr>
    </w:lvl>
    <w:lvl w:ilvl="6" w:tplc="0409000F" w:tentative="1">
      <w:start w:val="1"/>
      <w:numFmt w:val="decimal"/>
      <w:lvlText w:val="%7."/>
      <w:lvlJc w:val="left"/>
      <w:pPr>
        <w:ind w:left="4660" w:hanging="360"/>
      </w:pPr>
    </w:lvl>
    <w:lvl w:ilvl="7" w:tplc="04090019" w:tentative="1">
      <w:start w:val="1"/>
      <w:numFmt w:val="lowerLetter"/>
      <w:lvlText w:val="%8."/>
      <w:lvlJc w:val="left"/>
      <w:pPr>
        <w:ind w:left="5380" w:hanging="360"/>
      </w:pPr>
    </w:lvl>
    <w:lvl w:ilvl="8" w:tplc="0409001B" w:tentative="1">
      <w:start w:val="1"/>
      <w:numFmt w:val="lowerRoman"/>
      <w:lvlText w:val="%9."/>
      <w:lvlJc w:val="right"/>
      <w:pPr>
        <w:ind w:left="6100" w:hanging="180"/>
      </w:pPr>
    </w:lvl>
  </w:abstractNum>
  <w:num w:numId="1">
    <w:abstractNumId w:val="23"/>
  </w:num>
  <w:num w:numId="2">
    <w:abstractNumId w:val="5"/>
  </w:num>
  <w:num w:numId="3">
    <w:abstractNumId w:val="2"/>
  </w:num>
  <w:num w:numId="4">
    <w:abstractNumId w:val="25"/>
  </w:num>
  <w:num w:numId="5">
    <w:abstractNumId w:val="17"/>
  </w:num>
  <w:num w:numId="6">
    <w:abstractNumId w:val="28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22"/>
  </w:num>
  <w:num w:numId="12">
    <w:abstractNumId w:val="8"/>
  </w:num>
  <w:num w:numId="13">
    <w:abstractNumId w:val="14"/>
  </w:num>
  <w:num w:numId="14">
    <w:abstractNumId w:val="18"/>
  </w:num>
  <w:num w:numId="15">
    <w:abstractNumId w:val="24"/>
  </w:num>
  <w:num w:numId="16">
    <w:abstractNumId w:val="7"/>
  </w:num>
  <w:num w:numId="17">
    <w:abstractNumId w:val="15"/>
  </w:num>
  <w:num w:numId="18">
    <w:abstractNumId w:val="9"/>
  </w:num>
  <w:num w:numId="19">
    <w:abstractNumId w:val="4"/>
  </w:num>
  <w:num w:numId="20">
    <w:abstractNumId w:val="12"/>
  </w:num>
  <w:num w:numId="21">
    <w:abstractNumId w:val="20"/>
  </w:num>
  <w:num w:numId="22">
    <w:abstractNumId w:val="21"/>
  </w:num>
  <w:num w:numId="23">
    <w:abstractNumId w:val="3"/>
  </w:num>
  <w:num w:numId="24">
    <w:abstractNumId w:val="27"/>
  </w:num>
  <w:num w:numId="25">
    <w:abstractNumId w:val="1"/>
  </w:num>
  <w:num w:numId="26">
    <w:abstractNumId w:val="16"/>
  </w:num>
  <w:num w:numId="27">
    <w:abstractNumId w:val="0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LAwMTKzNDa3NDE2NjdS0lEKTi0uzszPAykwqQUAqIfVbiwAAAA="/>
  </w:docVars>
  <w:rsids>
    <w:rsidRoot w:val="009F33A9"/>
    <w:rsid w:val="00007B28"/>
    <w:rsid w:val="000149E6"/>
    <w:rsid w:val="0001576F"/>
    <w:rsid w:val="0001658B"/>
    <w:rsid w:val="0003393E"/>
    <w:rsid w:val="00035F8C"/>
    <w:rsid w:val="000463B9"/>
    <w:rsid w:val="00055F51"/>
    <w:rsid w:val="000605F6"/>
    <w:rsid w:val="00065F46"/>
    <w:rsid w:val="000715D0"/>
    <w:rsid w:val="00080701"/>
    <w:rsid w:val="0009373B"/>
    <w:rsid w:val="00094D53"/>
    <w:rsid w:val="00097733"/>
    <w:rsid w:val="000A2AD1"/>
    <w:rsid w:val="000A2BC9"/>
    <w:rsid w:val="000B174A"/>
    <w:rsid w:val="000C0CCC"/>
    <w:rsid w:val="000C6BA7"/>
    <w:rsid w:val="000D338F"/>
    <w:rsid w:val="000D3AA5"/>
    <w:rsid w:val="000E1BD7"/>
    <w:rsid w:val="000E1F43"/>
    <w:rsid w:val="000E67F4"/>
    <w:rsid w:val="000F012C"/>
    <w:rsid w:val="000F5B10"/>
    <w:rsid w:val="0010183E"/>
    <w:rsid w:val="001043D7"/>
    <w:rsid w:val="00104AAD"/>
    <w:rsid w:val="001050D0"/>
    <w:rsid w:val="001122B0"/>
    <w:rsid w:val="00112376"/>
    <w:rsid w:val="00115422"/>
    <w:rsid w:val="00116C45"/>
    <w:rsid w:val="00127FE5"/>
    <w:rsid w:val="00145252"/>
    <w:rsid w:val="00147AC2"/>
    <w:rsid w:val="001539A6"/>
    <w:rsid w:val="00176872"/>
    <w:rsid w:val="0018314E"/>
    <w:rsid w:val="00192627"/>
    <w:rsid w:val="00197CFF"/>
    <w:rsid w:val="001B188B"/>
    <w:rsid w:val="001B5B1C"/>
    <w:rsid w:val="001B6C8A"/>
    <w:rsid w:val="001C043F"/>
    <w:rsid w:val="001C1945"/>
    <w:rsid w:val="001D1B28"/>
    <w:rsid w:val="001D4255"/>
    <w:rsid w:val="001D4729"/>
    <w:rsid w:val="001D6369"/>
    <w:rsid w:val="001D750A"/>
    <w:rsid w:val="001E763C"/>
    <w:rsid w:val="001F0EC5"/>
    <w:rsid w:val="001F766D"/>
    <w:rsid w:val="001F7A56"/>
    <w:rsid w:val="00202387"/>
    <w:rsid w:val="00203777"/>
    <w:rsid w:val="00210AD1"/>
    <w:rsid w:val="002117BB"/>
    <w:rsid w:val="002118F8"/>
    <w:rsid w:val="00214968"/>
    <w:rsid w:val="00233B2A"/>
    <w:rsid w:val="0023625E"/>
    <w:rsid w:val="002424E7"/>
    <w:rsid w:val="00243DAD"/>
    <w:rsid w:val="0025524A"/>
    <w:rsid w:val="00260261"/>
    <w:rsid w:val="0026406F"/>
    <w:rsid w:val="002714CA"/>
    <w:rsid w:val="00271DC1"/>
    <w:rsid w:val="002745FA"/>
    <w:rsid w:val="00280384"/>
    <w:rsid w:val="00295FA7"/>
    <w:rsid w:val="002A399A"/>
    <w:rsid w:val="002A6BE2"/>
    <w:rsid w:val="002D34A3"/>
    <w:rsid w:val="002E3950"/>
    <w:rsid w:val="002E502F"/>
    <w:rsid w:val="002F509C"/>
    <w:rsid w:val="002F5B3A"/>
    <w:rsid w:val="00304314"/>
    <w:rsid w:val="00313203"/>
    <w:rsid w:val="003164CA"/>
    <w:rsid w:val="00323724"/>
    <w:rsid w:val="00324683"/>
    <w:rsid w:val="00324A12"/>
    <w:rsid w:val="00324DCC"/>
    <w:rsid w:val="00330AEB"/>
    <w:rsid w:val="00333137"/>
    <w:rsid w:val="00334897"/>
    <w:rsid w:val="003348A3"/>
    <w:rsid w:val="00335F5D"/>
    <w:rsid w:val="00336D67"/>
    <w:rsid w:val="00341217"/>
    <w:rsid w:val="00345F07"/>
    <w:rsid w:val="003509D7"/>
    <w:rsid w:val="00350CF7"/>
    <w:rsid w:val="00356297"/>
    <w:rsid w:val="00366E6F"/>
    <w:rsid w:val="00371B30"/>
    <w:rsid w:val="003720B4"/>
    <w:rsid w:val="0039101C"/>
    <w:rsid w:val="0039587A"/>
    <w:rsid w:val="003C2C3B"/>
    <w:rsid w:val="003D6315"/>
    <w:rsid w:val="003F17F1"/>
    <w:rsid w:val="003F2D31"/>
    <w:rsid w:val="003F4C51"/>
    <w:rsid w:val="004002FC"/>
    <w:rsid w:val="00400872"/>
    <w:rsid w:val="00406856"/>
    <w:rsid w:val="00407C5B"/>
    <w:rsid w:val="00416BDA"/>
    <w:rsid w:val="00417628"/>
    <w:rsid w:val="00421104"/>
    <w:rsid w:val="00421A4D"/>
    <w:rsid w:val="00424241"/>
    <w:rsid w:val="00426A4F"/>
    <w:rsid w:val="00451EB0"/>
    <w:rsid w:val="00455799"/>
    <w:rsid w:val="004601BB"/>
    <w:rsid w:val="00462BCE"/>
    <w:rsid w:val="00463159"/>
    <w:rsid w:val="004702A5"/>
    <w:rsid w:val="00476788"/>
    <w:rsid w:val="004843CD"/>
    <w:rsid w:val="00485555"/>
    <w:rsid w:val="00494797"/>
    <w:rsid w:val="00496224"/>
    <w:rsid w:val="004A3466"/>
    <w:rsid w:val="004A3FB6"/>
    <w:rsid w:val="004B4EF5"/>
    <w:rsid w:val="004B7C36"/>
    <w:rsid w:val="004C2874"/>
    <w:rsid w:val="004C5107"/>
    <w:rsid w:val="004D0113"/>
    <w:rsid w:val="004D67F4"/>
    <w:rsid w:val="004E52F5"/>
    <w:rsid w:val="004E5A26"/>
    <w:rsid w:val="004F4333"/>
    <w:rsid w:val="00500889"/>
    <w:rsid w:val="00501225"/>
    <w:rsid w:val="00501ACE"/>
    <w:rsid w:val="005251A1"/>
    <w:rsid w:val="0052690C"/>
    <w:rsid w:val="00544BC5"/>
    <w:rsid w:val="00550E93"/>
    <w:rsid w:val="0055378D"/>
    <w:rsid w:val="00553E8A"/>
    <w:rsid w:val="0055505A"/>
    <w:rsid w:val="00561257"/>
    <w:rsid w:val="00564C69"/>
    <w:rsid w:val="00570222"/>
    <w:rsid w:val="005714FA"/>
    <w:rsid w:val="00584397"/>
    <w:rsid w:val="00593400"/>
    <w:rsid w:val="00597979"/>
    <w:rsid w:val="00597F2D"/>
    <w:rsid w:val="005A50B1"/>
    <w:rsid w:val="005B15B6"/>
    <w:rsid w:val="005B50D7"/>
    <w:rsid w:val="005B64BB"/>
    <w:rsid w:val="005C63A8"/>
    <w:rsid w:val="005D730D"/>
    <w:rsid w:val="005D7775"/>
    <w:rsid w:val="005D79A1"/>
    <w:rsid w:val="005D7B69"/>
    <w:rsid w:val="005E1537"/>
    <w:rsid w:val="005E1A6C"/>
    <w:rsid w:val="005F2CBE"/>
    <w:rsid w:val="005F5380"/>
    <w:rsid w:val="00600156"/>
    <w:rsid w:val="006030C4"/>
    <w:rsid w:val="00623CA9"/>
    <w:rsid w:val="006246A4"/>
    <w:rsid w:val="00642EF1"/>
    <w:rsid w:val="00643A44"/>
    <w:rsid w:val="00646DFB"/>
    <w:rsid w:val="00647C63"/>
    <w:rsid w:val="00654006"/>
    <w:rsid w:val="00656737"/>
    <w:rsid w:val="00657B3A"/>
    <w:rsid w:val="00664B29"/>
    <w:rsid w:val="00667474"/>
    <w:rsid w:val="006800B3"/>
    <w:rsid w:val="00680993"/>
    <w:rsid w:val="00682266"/>
    <w:rsid w:val="00683899"/>
    <w:rsid w:val="006852D3"/>
    <w:rsid w:val="00692164"/>
    <w:rsid w:val="00696457"/>
    <w:rsid w:val="006A1F09"/>
    <w:rsid w:val="006C6876"/>
    <w:rsid w:val="006D19C1"/>
    <w:rsid w:val="006E5420"/>
    <w:rsid w:val="00710478"/>
    <w:rsid w:val="007145BD"/>
    <w:rsid w:val="00722DB6"/>
    <w:rsid w:val="00724272"/>
    <w:rsid w:val="00742D69"/>
    <w:rsid w:val="00751BF0"/>
    <w:rsid w:val="00751DAA"/>
    <w:rsid w:val="00753E01"/>
    <w:rsid w:val="00773437"/>
    <w:rsid w:val="00774240"/>
    <w:rsid w:val="00775138"/>
    <w:rsid w:val="00780185"/>
    <w:rsid w:val="00780ACF"/>
    <w:rsid w:val="00782A80"/>
    <w:rsid w:val="00785B3C"/>
    <w:rsid w:val="0078670C"/>
    <w:rsid w:val="007875D3"/>
    <w:rsid w:val="0079158A"/>
    <w:rsid w:val="00797645"/>
    <w:rsid w:val="007A171E"/>
    <w:rsid w:val="007B18F0"/>
    <w:rsid w:val="007C0A6E"/>
    <w:rsid w:val="007C6DBF"/>
    <w:rsid w:val="007E3A84"/>
    <w:rsid w:val="007F0515"/>
    <w:rsid w:val="007F1D19"/>
    <w:rsid w:val="007F4388"/>
    <w:rsid w:val="00800DD0"/>
    <w:rsid w:val="00803455"/>
    <w:rsid w:val="00811E35"/>
    <w:rsid w:val="00814FF9"/>
    <w:rsid w:val="00817339"/>
    <w:rsid w:val="00821A0C"/>
    <w:rsid w:val="00822C58"/>
    <w:rsid w:val="008247F9"/>
    <w:rsid w:val="00834B39"/>
    <w:rsid w:val="008364E2"/>
    <w:rsid w:val="00843481"/>
    <w:rsid w:val="00845F7C"/>
    <w:rsid w:val="008506C9"/>
    <w:rsid w:val="00855C8A"/>
    <w:rsid w:val="00856734"/>
    <w:rsid w:val="008637FB"/>
    <w:rsid w:val="0086490C"/>
    <w:rsid w:val="008707F5"/>
    <w:rsid w:val="0089504A"/>
    <w:rsid w:val="00897CFD"/>
    <w:rsid w:val="008B1D40"/>
    <w:rsid w:val="008B23F5"/>
    <w:rsid w:val="008B315E"/>
    <w:rsid w:val="008B32F2"/>
    <w:rsid w:val="008B4869"/>
    <w:rsid w:val="008C47C3"/>
    <w:rsid w:val="008C6113"/>
    <w:rsid w:val="008D64F5"/>
    <w:rsid w:val="008E437F"/>
    <w:rsid w:val="008E5EAF"/>
    <w:rsid w:val="00913DAF"/>
    <w:rsid w:val="0093595A"/>
    <w:rsid w:val="00937763"/>
    <w:rsid w:val="00943329"/>
    <w:rsid w:val="00951E11"/>
    <w:rsid w:val="00956EBE"/>
    <w:rsid w:val="00967C58"/>
    <w:rsid w:val="00967C88"/>
    <w:rsid w:val="00975A00"/>
    <w:rsid w:val="00977184"/>
    <w:rsid w:val="00981F79"/>
    <w:rsid w:val="00983CBF"/>
    <w:rsid w:val="009A16DC"/>
    <w:rsid w:val="009A491D"/>
    <w:rsid w:val="009A7293"/>
    <w:rsid w:val="009B1043"/>
    <w:rsid w:val="009B4EE2"/>
    <w:rsid w:val="009C1D16"/>
    <w:rsid w:val="009D73FA"/>
    <w:rsid w:val="009E1276"/>
    <w:rsid w:val="009E1A72"/>
    <w:rsid w:val="009E3B3D"/>
    <w:rsid w:val="009E4C6F"/>
    <w:rsid w:val="009E7421"/>
    <w:rsid w:val="009F33A9"/>
    <w:rsid w:val="009F5E8B"/>
    <w:rsid w:val="00A04B05"/>
    <w:rsid w:val="00A074F0"/>
    <w:rsid w:val="00A15E56"/>
    <w:rsid w:val="00A2258D"/>
    <w:rsid w:val="00A27D5A"/>
    <w:rsid w:val="00A32955"/>
    <w:rsid w:val="00A42728"/>
    <w:rsid w:val="00A50EEA"/>
    <w:rsid w:val="00A514E2"/>
    <w:rsid w:val="00A5722D"/>
    <w:rsid w:val="00A573DD"/>
    <w:rsid w:val="00A70D9F"/>
    <w:rsid w:val="00A722C3"/>
    <w:rsid w:val="00A73EFF"/>
    <w:rsid w:val="00A74650"/>
    <w:rsid w:val="00A75280"/>
    <w:rsid w:val="00A75C84"/>
    <w:rsid w:val="00A75D9A"/>
    <w:rsid w:val="00A80FB7"/>
    <w:rsid w:val="00A81298"/>
    <w:rsid w:val="00A81B6D"/>
    <w:rsid w:val="00A944B4"/>
    <w:rsid w:val="00A97BA8"/>
    <w:rsid w:val="00AA0762"/>
    <w:rsid w:val="00AB1CF0"/>
    <w:rsid w:val="00AC1D89"/>
    <w:rsid w:val="00AC22B2"/>
    <w:rsid w:val="00AC3919"/>
    <w:rsid w:val="00AC47BE"/>
    <w:rsid w:val="00AC768B"/>
    <w:rsid w:val="00AC7923"/>
    <w:rsid w:val="00AE132C"/>
    <w:rsid w:val="00AE47B1"/>
    <w:rsid w:val="00AE58E7"/>
    <w:rsid w:val="00AF0AC7"/>
    <w:rsid w:val="00AF120E"/>
    <w:rsid w:val="00AF49A5"/>
    <w:rsid w:val="00AF6037"/>
    <w:rsid w:val="00B20106"/>
    <w:rsid w:val="00B22335"/>
    <w:rsid w:val="00B27BC3"/>
    <w:rsid w:val="00B3052D"/>
    <w:rsid w:val="00B330D6"/>
    <w:rsid w:val="00B3685A"/>
    <w:rsid w:val="00B40969"/>
    <w:rsid w:val="00B444FF"/>
    <w:rsid w:val="00B46039"/>
    <w:rsid w:val="00B47A51"/>
    <w:rsid w:val="00B52DC8"/>
    <w:rsid w:val="00B7221E"/>
    <w:rsid w:val="00B72BF5"/>
    <w:rsid w:val="00B74C39"/>
    <w:rsid w:val="00B83692"/>
    <w:rsid w:val="00B862FB"/>
    <w:rsid w:val="00BA4F28"/>
    <w:rsid w:val="00BA626E"/>
    <w:rsid w:val="00BB1CDE"/>
    <w:rsid w:val="00BB49B4"/>
    <w:rsid w:val="00BC0C12"/>
    <w:rsid w:val="00BC4EDD"/>
    <w:rsid w:val="00BC6E5A"/>
    <w:rsid w:val="00BC7025"/>
    <w:rsid w:val="00BD0DA8"/>
    <w:rsid w:val="00BE31D1"/>
    <w:rsid w:val="00BE3C06"/>
    <w:rsid w:val="00BE424F"/>
    <w:rsid w:val="00BF0B7E"/>
    <w:rsid w:val="00BF331C"/>
    <w:rsid w:val="00C02106"/>
    <w:rsid w:val="00C05EA2"/>
    <w:rsid w:val="00C12480"/>
    <w:rsid w:val="00C14800"/>
    <w:rsid w:val="00C15EEA"/>
    <w:rsid w:val="00C16899"/>
    <w:rsid w:val="00C20BC8"/>
    <w:rsid w:val="00C21B06"/>
    <w:rsid w:val="00C26DCB"/>
    <w:rsid w:val="00C30DF5"/>
    <w:rsid w:val="00C31E81"/>
    <w:rsid w:val="00C33645"/>
    <w:rsid w:val="00C43FD3"/>
    <w:rsid w:val="00C45A0A"/>
    <w:rsid w:val="00C5085D"/>
    <w:rsid w:val="00C77A5C"/>
    <w:rsid w:val="00C80400"/>
    <w:rsid w:val="00C845F6"/>
    <w:rsid w:val="00C87F33"/>
    <w:rsid w:val="00CA1810"/>
    <w:rsid w:val="00CA1945"/>
    <w:rsid w:val="00CA5EF2"/>
    <w:rsid w:val="00CB5129"/>
    <w:rsid w:val="00CB545C"/>
    <w:rsid w:val="00CE5E32"/>
    <w:rsid w:val="00CF0000"/>
    <w:rsid w:val="00CF7727"/>
    <w:rsid w:val="00D03DC0"/>
    <w:rsid w:val="00D169A1"/>
    <w:rsid w:val="00D30200"/>
    <w:rsid w:val="00D3030B"/>
    <w:rsid w:val="00D347C0"/>
    <w:rsid w:val="00D47621"/>
    <w:rsid w:val="00D54C47"/>
    <w:rsid w:val="00D640AB"/>
    <w:rsid w:val="00D66620"/>
    <w:rsid w:val="00D702E6"/>
    <w:rsid w:val="00D7110C"/>
    <w:rsid w:val="00D71C71"/>
    <w:rsid w:val="00D75AB1"/>
    <w:rsid w:val="00D85B3F"/>
    <w:rsid w:val="00DB185B"/>
    <w:rsid w:val="00DB4AD9"/>
    <w:rsid w:val="00DC28B6"/>
    <w:rsid w:val="00DF1383"/>
    <w:rsid w:val="00DF3561"/>
    <w:rsid w:val="00E017EB"/>
    <w:rsid w:val="00E138A8"/>
    <w:rsid w:val="00E2428E"/>
    <w:rsid w:val="00E31BB7"/>
    <w:rsid w:val="00E47F5E"/>
    <w:rsid w:val="00E9172B"/>
    <w:rsid w:val="00E9372C"/>
    <w:rsid w:val="00EA1D52"/>
    <w:rsid w:val="00EB3ED8"/>
    <w:rsid w:val="00EB5DEC"/>
    <w:rsid w:val="00EB7697"/>
    <w:rsid w:val="00EB7C51"/>
    <w:rsid w:val="00EC2DF3"/>
    <w:rsid w:val="00EC38B3"/>
    <w:rsid w:val="00EC6915"/>
    <w:rsid w:val="00ED5D24"/>
    <w:rsid w:val="00EE3E6A"/>
    <w:rsid w:val="00F0084F"/>
    <w:rsid w:val="00F075AC"/>
    <w:rsid w:val="00F16893"/>
    <w:rsid w:val="00F17D2F"/>
    <w:rsid w:val="00F22755"/>
    <w:rsid w:val="00F26A88"/>
    <w:rsid w:val="00F27C8A"/>
    <w:rsid w:val="00F60559"/>
    <w:rsid w:val="00F60604"/>
    <w:rsid w:val="00F611AF"/>
    <w:rsid w:val="00F623E7"/>
    <w:rsid w:val="00F6742E"/>
    <w:rsid w:val="00F67673"/>
    <w:rsid w:val="00F86AE2"/>
    <w:rsid w:val="00F934AE"/>
    <w:rsid w:val="00F97A5A"/>
    <w:rsid w:val="00FA432A"/>
    <w:rsid w:val="00FA6528"/>
    <w:rsid w:val="00FB681A"/>
    <w:rsid w:val="00FC7BA3"/>
    <w:rsid w:val="00FD5F5F"/>
    <w:rsid w:val="00FE36B2"/>
    <w:rsid w:val="00FE48E3"/>
    <w:rsid w:val="00FF12D1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1E1502"/>
  <w15:chartTrackingRefBased/>
  <w15:docId w15:val="{4D69949D-BADC-4B03-8DBE-DE5ADC89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1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7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C2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74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86A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3E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ersityxyz.edu.pk/qua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 Irshad</dc:creator>
  <cp:keywords/>
  <dc:description/>
  <cp:lastModifiedBy>Wajid Ali</cp:lastModifiedBy>
  <cp:revision>4</cp:revision>
  <cp:lastPrinted>2024-10-01T07:18:00Z</cp:lastPrinted>
  <dcterms:created xsi:type="dcterms:W3CDTF">2025-09-01T04:59:00Z</dcterms:created>
  <dcterms:modified xsi:type="dcterms:W3CDTF">2025-09-01T11:28:00Z</dcterms:modified>
</cp:coreProperties>
</file>